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outlineLvl w:val="2"/>
        <w:rPr>
          <w:rFonts w:hint="eastAsia" w:ascii="宋体" w:hAnsi="宋体" w:eastAsia="宋体" w:cs="宋体"/>
          <w:b/>
          <w:bCs/>
          <w:color w:val="auto"/>
          <w:highlight w:val="none"/>
          <w:lang w:eastAsia="zh-CN"/>
        </w:rPr>
      </w:pPr>
      <w:r>
        <w:rPr>
          <w:rFonts w:hint="eastAsia" w:ascii="宋体" w:hAnsi="宋体" w:cs="宋体"/>
          <w:b/>
          <w:bCs/>
          <w:color w:val="auto"/>
          <w:highlight w:val="none"/>
        </w:rPr>
        <w:t>附件1：</w:t>
      </w:r>
      <w:bookmarkStart w:id="0" w:name="_Toc3726"/>
      <w:r>
        <w:rPr>
          <w:rFonts w:hint="eastAsia" w:ascii="宋体" w:hAnsi="宋体" w:cs="宋体"/>
          <w:b/>
          <w:bCs/>
          <w:color w:val="auto"/>
          <w:highlight w:val="none"/>
        </w:rPr>
        <w:t>资格审查条件</w:t>
      </w:r>
      <w:bookmarkEnd w:id="0"/>
      <w:r>
        <w:rPr>
          <w:rFonts w:hint="eastAsia" w:ascii="宋体" w:hAnsi="宋体" w:cs="宋体"/>
          <w:b/>
          <w:bCs/>
          <w:color w:val="auto"/>
          <w:highlight w:val="none"/>
        </w:rPr>
        <w:t>附录1—附录</w:t>
      </w:r>
      <w:r>
        <w:rPr>
          <w:rFonts w:hint="eastAsia" w:ascii="宋体" w:hAnsi="宋体" w:cs="宋体"/>
          <w:b/>
          <w:bCs/>
          <w:color w:val="auto"/>
          <w:highlight w:val="none"/>
          <w:lang w:val="en-US" w:eastAsia="zh-CN"/>
        </w:rPr>
        <w:t>6</w:t>
      </w:r>
    </w:p>
    <w:p>
      <w:pPr>
        <w:spacing w:line="360" w:lineRule="auto"/>
        <w:jc w:val="left"/>
        <w:rPr>
          <w:rFonts w:ascii="宋体" w:hAnsi="宋体" w:cs="宋体"/>
          <w:b/>
          <w:bCs/>
          <w:color w:val="auto"/>
          <w:highlight w:val="none"/>
        </w:rPr>
      </w:pPr>
    </w:p>
    <w:p>
      <w:pPr>
        <w:spacing w:line="360" w:lineRule="auto"/>
        <w:jc w:val="left"/>
        <w:rPr>
          <w:rFonts w:ascii="宋体" w:hAnsi="宋体" w:cs="宋体"/>
          <w:b/>
          <w:bCs/>
          <w:color w:val="auto"/>
          <w:highlight w:val="none"/>
        </w:rPr>
      </w:pPr>
    </w:p>
    <w:p>
      <w:pPr>
        <w:spacing w:afterLines="50"/>
        <w:jc w:val="center"/>
        <w:rPr>
          <w:rFonts w:ascii="宋体" w:hAnsi="宋体" w:cs="宋体"/>
          <w:color w:val="auto"/>
          <w:szCs w:val="21"/>
          <w:highlight w:val="none"/>
        </w:rPr>
      </w:pPr>
      <w:r>
        <w:rPr>
          <w:rFonts w:hint="eastAsia" w:ascii="宋体" w:hAnsi="宋体" w:cs="宋体"/>
          <w:b/>
          <w:color w:val="auto"/>
          <w:szCs w:val="21"/>
          <w:highlight w:val="none"/>
        </w:rPr>
        <w:t>附录1  资格审查条件</w:t>
      </w:r>
      <w:r>
        <w:rPr>
          <w:rFonts w:hint="eastAsia" w:ascii="宋体" w:hAnsi="宋体" w:cs="宋体"/>
          <w:color w:val="auto"/>
          <w:szCs w:val="21"/>
          <w:highlight w:val="none"/>
        </w:rPr>
        <w:t>（资质最低要求）</w:t>
      </w:r>
    </w:p>
    <w:tbl>
      <w:tblPr>
        <w:tblStyle w:val="7"/>
        <w:tblW w:w="9242" w:type="dxa"/>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607" w:hRule="atLeast"/>
        </w:trPr>
        <w:tc>
          <w:tcPr>
            <w:tcW w:w="9242" w:type="dxa"/>
            <w:tcBorders>
              <w:top w:val="single" w:color="auto" w:sz="12" w:space="0"/>
              <w:left w:val="single" w:color="auto" w:sz="12" w:space="0"/>
              <w:bottom w:val="single" w:color="auto" w:sz="2" w:space="0"/>
              <w:right w:val="single" w:color="auto" w:sz="12" w:space="0"/>
            </w:tcBorders>
            <w:noWrap w:val="0"/>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施工企业资质等级要求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1103" w:hRule="atLeast"/>
        </w:trPr>
        <w:tc>
          <w:tcPr>
            <w:tcW w:w="9242" w:type="dxa"/>
            <w:tcBorders>
              <w:top w:val="single" w:color="auto" w:sz="2" w:space="0"/>
              <w:left w:val="single" w:color="auto" w:sz="12" w:space="0"/>
              <w:bottom w:val="single" w:color="auto" w:sz="2" w:space="0"/>
              <w:right w:val="single" w:color="auto" w:sz="12" w:space="0"/>
            </w:tcBorders>
            <w:noWrap w:val="0"/>
            <w:vAlign w:val="center"/>
          </w:tcPr>
          <w:p>
            <w:pPr>
              <w:autoSpaceDE w:val="0"/>
              <w:autoSpaceDN w:val="0"/>
              <w:adjustRightInd w:val="0"/>
              <w:snapToGrid w:val="0"/>
              <w:spacing w:line="460" w:lineRule="exact"/>
              <w:jc w:val="left"/>
              <w:rPr>
                <w:rFonts w:ascii="宋体" w:hAnsi="宋体" w:eastAsia="Times New Roman" w:cs="宋体"/>
                <w:i/>
                <w:color w:val="auto"/>
                <w:szCs w:val="21"/>
                <w:highlight w:val="none"/>
              </w:rPr>
            </w:pPr>
            <w:r>
              <w:rPr>
                <w:rFonts w:hint="eastAsia" w:ascii="宋体" w:hAnsi="宋体" w:cs="宋体"/>
                <w:color w:val="auto"/>
                <w:kern w:val="0"/>
                <w:szCs w:val="21"/>
                <w:highlight w:val="none"/>
              </w:rPr>
              <w:t>本次招标要求投标人须具有独立法人资格，具备住建部核发的</w:t>
            </w:r>
            <w:r>
              <w:rPr>
                <w:rFonts w:hint="eastAsia" w:ascii="宋体" w:hAnsi="宋体" w:cs="宋体"/>
                <w:color w:val="auto"/>
                <w:szCs w:val="21"/>
                <w:highlight w:val="none"/>
              </w:rPr>
              <w:t>公路工程施工总承包三级</w:t>
            </w:r>
            <w:r>
              <w:rPr>
                <w:rFonts w:hint="eastAsia" w:ascii="宋体" w:hAnsi="宋体" w:cs="宋体"/>
                <w:color w:val="auto"/>
                <w:szCs w:val="21"/>
                <w:highlight w:val="none"/>
                <w:lang w:eastAsia="zh-CN"/>
              </w:rPr>
              <w:t>（</w:t>
            </w:r>
            <w:r>
              <w:rPr>
                <w:rFonts w:hint="eastAsia" w:ascii="宋体" w:hAnsi="宋体" w:cs="宋体"/>
                <w:color w:val="auto"/>
                <w:szCs w:val="21"/>
                <w:highlight w:val="none"/>
              </w:rPr>
              <w:t>或以上</w:t>
            </w:r>
            <w:r>
              <w:rPr>
                <w:rFonts w:hint="eastAsia" w:ascii="宋体" w:hAnsi="宋体" w:cs="宋体"/>
                <w:color w:val="auto"/>
                <w:szCs w:val="21"/>
                <w:highlight w:val="none"/>
                <w:lang w:eastAsia="zh-CN"/>
              </w:rPr>
              <w:t>）及公路交通工程（公路安全设施分项）专业承包贰级（</w:t>
            </w:r>
            <w:r>
              <w:rPr>
                <w:rFonts w:hint="eastAsia" w:ascii="宋体" w:hAnsi="宋体" w:cs="宋体"/>
                <w:color w:val="auto"/>
                <w:szCs w:val="21"/>
                <w:highlight w:val="none"/>
              </w:rPr>
              <w:t>或以上</w:t>
            </w:r>
            <w:r>
              <w:rPr>
                <w:rFonts w:hint="eastAsia" w:ascii="宋体" w:hAnsi="宋体" w:cs="宋体"/>
                <w:color w:val="auto"/>
                <w:szCs w:val="21"/>
                <w:highlight w:val="none"/>
                <w:lang w:eastAsia="zh-CN"/>
              </w:rPr>
              <w:t>）</w:t>
            </w:r>
            <w:r>
              <w:rPr>
                <w:rFonts w:hint="eastAsia" w:ascii="宋体" w:hAnsi="宋体" w:cs="宋体"/>
                <w:color w:val="auto"/>
                <w:szCs w:val="21"/>
                <w:highlight w:val="none"/>
              </w:rPr>
              <w:t>资质</w:t>
            </w:r>
            <w:r>
              <w:rPr>
                <w:rFonts w:hint="eastAsia" w:ascii="宋体" w:hAnsi="宋体" w:cs="宋体"/>
                <w:color w:val="auto"/>
                <w:kern w:val="0"/>
                <w:szCs w:val="21"/>
                <w:highlight w:val="none"/>
              </w:rPr>
              <w:t>。</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1130" w:hRule="atLeast"/>
        </w:trPr>
        <w:tc>
          <w:tcPr>
            <w:tcW w:w="9242" w:type="dxa"/>
            <w:tcBorders>
              <w:top w:val="single" w:color="auto" w:sz="2" w:space="0"/>
              <w:left w:val="single" w:color="auto" w:sz="12" w:space="0"/>
              <w:bottom w:val="single" w:color="auto" w:sz="2" w:space="0"/>
              <w:right w:val="single" w:color="auto" w:sz="12" w:space="0"/>
            </w:tcBorders>
            <w:noWrap w:val="0"/>
            <w:vAlign w:val="center"/>
          </w:tcPr>
          <w:p>
            <w:pPr>
              <w:autoSpaceDE w:val="0"/>
              <w:autoSpaceDN w:val="0"/>
              <w:adjustRightInd w:val="0"/>
              <w:snapToGrid w:val="0"/>
              <w:spacing w:line="460" w:lineRule="exact"/>
              <w:jc w:val="left"/>
              <w:rPr>
                <w:rFonts w:ascii="宋体" w:hAnsi="宋体" w:cs="宋体"/>
                <w:color w:val="auto"/>
                <w:szCs w:val="21"/>
                <w:highlight w:val="none"/>
              </w:rPr>
            </w:pPr>
            <w:r>
              <w:rPr>
                <w:rFonts w:hint="eastAsia" w:ascii="宋体" w:hAnsi="宋体" w:cs="宋体"/>
                <w:color w:val="auto"/>
                <w:kern w:val="0"/>
                <w:szCs w:val="21"/>
                <w:highlight w:val="none"/>
              </w:rPr>
              <w:t>评标委员会将按照交通运输部《全国公路建设市场信用信息管理系统》网站中“公路工程施工资质企业名录”进行审核。对于未列入“名录”或投标人名称、资质信息与“名录”不符的，将不能通过资格审查。</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847" w:hRule="atLeast"/>
        </w:trPr>
        <w:tc>
          <w:tcPr>
            <w:tcW w:w="9242" w:type="dxa"/>
            <w:tcBorders>
              <w:top w:val="single" w:color="auto" w:sz="2" w:space="0"/>
              <w:left w:val="single" w:color="auto" w:sz="12" w:space="0"/>
              <w:bottom w:val="single" w:color="auto" w:sz="12" w:space="0"/>
              <w:right w:val="single" w:color="auto" w:sz="12" w:space="0"/>
            </w:tcBorders>
            <w:noWrap w:val="0"/>
            <w:vAlign w:val="center"/>
          </w:tcPr>
          <w:p>
            <w:pPr>
              <w:autoSpaceDE w:val="0"/>
              <w:autoSpaceDN w:val="0"/>
              <w:adjustRightInd w:val="0"/>
              <w:snapToGrid w:val="0"/>
              <w:spacing w:line="460" w:lineRule="exact"/>
              <w:jc w:val="left"/>
              <w:rPr>
                <w:rFonts w:ascii="宋体" w:hAnsi="宋体" w:cs="宋体"/>
                <w:color w:val="auto"/>
                <w:szCs w:val="21"/>
                <w:highlight w:val="none"/>
              </w:rPr>
            </w:pPr>
            <w:r>
              <w:rPr>
                <w:rFonts w:hint="eastAsia" w:ascii="宋体" w:hAnsi="宋体" w:cs="宋体"/>
                <w:color w:val="auto"/>
                <w:kern w:val="0"/>
                <w:szCs w:val="21"/>
                <w:highlight w:val="none"/>
              </w:rPr>
              <w:t>投标人应具有有效的安全生产许可证。</w:t>
            </w:r>
          </w:p>
        </w:tc>
      </w:tr>
    </w:tbl>
    <w:p>
      <w:pPr>
        <w:jc w:val="center"/>
        <w:rPr>
          <w:rFonts w:ascii="宋体" w:hAnsi="宋体" w:cs="宋体"/>
          <w:b/>
          <w:color w:val="auto"/>
          <w:szCs w:val="21"/>
          <w:highlight w:val="none"/>
        </w:rPr>
      </w:pPr>
    </w:p>
    <w:p>
      <w:pPr>
        <w:rPr>
          <w:rFonts w:hint="eastAsia" w:ascii="宋体" w:hAnsi="宋体" w:cs="宋体"/>
          <w:b/>
          <w:color w:val="auto"/>
          <w:szCs w:val="21"/>
          <w:highlight w:val="none"/>
        </w:rPr>
      </w:pPr>
      <w:r>
        <w:rPr>
          <w:rFonts w:hint="eastAsia" w:ascii="宋体" w:hAnsi="宋体" w:cs="宋体"/>
          <w:b/>
          <w:color w:val="auto"/>
          <w:szCs w:val="21"/>
          <w:highlight w:val="none"/>
        </w:rPr>
        <w:br w:type="page"/>
      </w:r>
    </w:p>
    <w:p>
      <w:pPr>
        <w:spacing w:afterLines="50"/>
        <w:jc w:val="center"/>
        <w:rPr>
          <w:rFonts w:ascii="宋体" w:hAnsi="宋体" w:cs="宋体"/>
          <w:color w:val="auto"/>
          <w:szCs w:val="21"/>
          <w:highlight w:val="none"/>
        </w:rPr>
      </w:pPr>
      <w:r>
        <w:rPr>
          <w:rFonts w:hint="eastAsia" w:ascii="宋体" w:hAnsi="宋体" w:cs="宋体"/>
          <w:b/>
          <w:color w:val="auto"/>
          <w:szCs w:val="21"/>
          <w:highlight w:val="none"/>
        </w:rPr>
        <w:t>附录</w:t>
      </w:r>
      <w:r>
        <w:rPr>
          <w:rFonts w:hint="eastAsia" w:ascii="宋体" w:hAnsi="宋体" w:cs="宋体"/>
          <w:b/>
          <w:color w:val="auto"/>
          <w:szCs w:val="21"/>
          <w:highlight w:val="none"/>
          <w:lang w:val="en-US" w:eastAsia="zh-CN"/>
        </w:rPr>
        <w:t>3</w:t>
      </w:r>
      <w:r>
        <w:rPr>
          <w:rFonts w:hint="eastAsia" w:ascii="宋体" w:hAnsi="宋体" w:cs="宋体"/>
          <w:b/>
          <w:color w:val="auto"/>
          <w:szCs w:val="21"/>
          <w:highlight w:val="none"/>
        </w:rPr>
        <w:t xml:space="preserve">  资格审查条件</w:t>
      </w:r>
      <w:r>
        <w:rPr>
          <w:rFonts w:hint="eastAsia" w:ascii="宋体" w:hAnsi="宋体" w:cs="宋体"/>
          <w:color w:val="auto"/>
          <w:szCs w:val="21"/>
          <w:highlight w:val="none"/>
        </w:rPr>
        <w:t>（</w:t>
      </w:r>
      <w:r>
        <w:rPr>
          <w:rFonts w:hint="eastAsia" w:ascii="宋体" w:hAnsi="宋体" w:cs="宋体"/>
          <w:color w:val="auto"/>
          <w:szCs w:val="21"/>
          <w:highlight w:val="none"/>
          <w:lang w:eastAsia="zh-CN"/>
        </w:rPr>
        <w:t>业绩</w:t>
      </w:r>
      <w:r>
        <w:rPr>
          <w:rFonts w:hint="eastAsia" w:ascii="宋体" w:hAnsi="宋体" w:cs="宋体"/>
          <w:color w:val="auto"/>
          <w:szCs w:val="21"/>
          <w:highlight w:val="none"/>
        </w:rPr>
        <w:t>最低要求）</w:t>
      </w:r>
    </w:p>
    <w:p>
      <w:pPr>
        <w:rPr>
          <w:rFonts w:hint="eastAsia" w:ascii="宋体" w:hAnsi="宋体" w:cs="宋体"/>
          <w:b/>
          <w:color w:val="auto"/>
          <w:szCs w:val="21"/>
          <w:highlight w:val="none"/>
        </w:rPr>
      </w:pPr>
    </w:p>
    <w:tbl>
      <w:tblPr>
        <w:tblStyle w:val="7"/>
        <w:tblW w:w="92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9240" w:type="dxa"/>
            <w:tcBorders>
              <w:top w:val="single" w:color="auto" w:sz="12" w:space="0"/>
              <w:left w:val="single" w:color="auto" w:sz="12" w:space="0"/>
              <w:bottom w:val="single" w:color="auto" w:sz="6" w:space="0"/>
              <w:right w:val="single" w:color="auto" w:sz="12" w:space="0"/>
            </w:tcBorders>
            <w:noWrap w:val="0"/>
            <w:vAlign w:val="center"/>
          </w:tcPr>
          <w:p>
            <w:pPr>
              <w:jc w:val="center"/>
              <w:rPr>
                <w:rFonts w:ascii="宋体" w:hAnsi="宋体" w:cs="宋体"/>
                <w:color w:val="auto"/>
                <w:szCs w:val="21"/>
                <w:highlight w:val="none"/>
              </w:rPr>
            </w:pPr>
            <w:r>
              <w:rPr>
                <w:rFonts w:hint="eastAsia" w:ascii="宋体" w:hAnsi="宋体" w:cs="宋体"/>
                <w:b/>
                <w:color w:val="auto"/>
                <w:szCs w:val="21"/>
                <w:highlight w:val="none"/>
              </w:rPr>
              <w:br w:type="page"/>
            </w:r>
            <w:r>
              <w:rPr>
                <w:rFonts w:hint="eastAsia" w:ascii="宋体" w:hAnsi="宋体" w:cs="宋体"/>
                <w:color w:val="auto"/>
                <w:szCs w:val="21"/>
                <w:highlight w:val="none"/>
              </w:rPr>
              <w:t>业 绩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545" w:hRule="atLeast"/>
          <w:jc w:val="center"/>
        </w:trPr>
        <w:tc>
          <w:tcPr>
            <w:tcW w:w="9240" w:type="dxa"/>
            <w:tcBorders>
              <w:top w:val="single" w:color="auto" w:sz="6" w:space="0"/>
              <w:left w:val="single" w:color="auto" w:sz="12" w:space="0"/>
              <w:bottom w:val="single" w:color="auto" w:sz="12" w:space="0"/>
              <w:right w:val="single" w:color="auto" w:sz="12" w:space="0"/>
            </w:tcBorders>
            <w:noWrap w:val="0"/>
            <w:vAlign w:val="center"/>
          </w:tcPr>
          <w:p>
            <w:pPr>
              <w:keepNext w:val="0"/>
              <w:keepLines w:val="0"/>
              <w:widowControl/>
              <w:suppressLineNumbers w:val="0"/>
              <w:spacing w:line="360" w:lineRule="auto"/>
              <w:ind w:firstLine="420" w:firstLineChars="200"/>
              <w:jc w:val="left"/>
              <w:rPr>
                <w:rFonts w:ascii="宋体" w:hAnsi="宋体" w:cs="宋体"/>
                <w:color w:val="auto"/>
                <w:szCs w:val="21"/>
                <w:highlight w:val="none"/>
              </w:rPr>
            </w:pPr>
            <w:r>
              <w:rPr>
                <w:rFonts w:hint="eastAsia" w:eastAsia="宋体" w:cs="Times New Roman"/>
                <w:color w:val="auto"/>
                <w:highlight w:val="none"/>
                <w:lang w:val="en-US" w:eastAsia="zh-CN"/>
              </w:rPr>
              <w:t>自 2019 年3月 1 日至本项目招标公告发布之日</w:t>
            </w:r>
            <w:r>
              <w:rPr>
                <w:rFonts w:hint="eastAsia" w:eastAsia="宋体" w:cs="Times New Roman"/>
                <w:color w:val="auto"/>
                <w:highlight w:val="none"/>
                <w:lang w:eastAsia="zh-CN"/>
              </w:rPr>
              <w:t>以来，</w:t>
            </w:r>
            <w:r>
              <w:rPr>
                <w:rFonts w:hint="eastAsia" w:eastAsia="宋体" w:cs="Times New Roman"/>
                <w:color w:val="auto"/>
                <w:highlight w:val="none"/>
                <w:lang w:val="en-US" w:eastAsia="zh-CN"/>
              </w:rPr>
              <w:t>投标人</w:t>
            </w:r>
            <w:r>
              <w:rPr>
                <w:rFonts w:hint="eastAsia" w:eastAsia="宋体" w:cs="Times New Roman"/>
                <w:color w:val="auto"/>
                <w:highlight w:val="none"/>
                <w:lang w:eastAsia="zh-CN"/>
              </w:rPr>
              <w:t>独立完成过</w:t>
            </w:r>
            <w:r>
              <w:rPr>
                <w:rFonts w:hint="eastAsia" w:eastAsia="宋体" w:cs="Times New Roman"/>
                <w:color w:val="auto"/>
                <w:highlight w:val="none"/>
                <w:lang w:val="en-US" w:eastAsia="zh-CN"/>
              </w:rPr>
              <w:t>合同金额不少于本项目最高投标限价的</w:t>
            </w:r>
            <w:r>
              <w:rPr>
                <w:rFonts w:hint="eastAsia" w:eastAsia="宋体" w:cs="Times New Roman"/>
                <w:color w:val="auto"/>
                <w:highlight w:val="none"/>
                <w:lang w:eastAsia="zh-CN"/>
              </w:rPr>
              <w:t>新建或改、扩建、改造二级或以上（公路技术等级）公路桥梁施工项目</w:t>
            </w:r>
            <w:r>
              <w:rPr>
                <w:rFonts w:hint="eastAsia" w:eastAsia="宋体" w:cs="Times New Roman"/>
                <w:color w:val="auto"/>
                <w:highlight w:val="none"/>
                <w:lang w:val="en-US" w:eastAsia="zh-CN"/>
              </w:rPr>
              <w:t>（所提供业绩内容须同时包含</w:t>
            </w:r>
            <w:r>
              <w:rPr>
                <w:rFonts w:hint="eastAsia" w:eastAsia="宋体" w:cs="Times New Roman"/>
                <w:color w:val="auto"/>
                <w:highlight w:val="none"/>
                <w:lang w:eastAsia="zh-CN"/>
              </w:rPr>
              <w:t>有排水工程、交通安全设施（安全标志及标线）等工程内容</w:t>
            </w:r>
            <w:r>
              <w:rPr>
                <w:rFonts w:hint="eastAsia" w:eastAsia="宋体" w:cs="Times New Roman"/>
                <w:color w:val="auto"/>
                <w:highlight w:val="none"/>
                <w:lang w:val="en-US" w:eastAsia="zh-CN"/>
              </w:rPr>
              <w:t>）</w:t>
            </w:r>
            <w:r>
              <w:rPr>
                <w:rFonts w:hint="eastAsia" w:eastAsia="宋体" w:cs="Times New Roman"/>
                <w:color w:val="auto"/>
                <w:highlight w:val="none"/>
                <w:lang w:eastAsia="zh-CN"/>
              </w:rPr>
              <w:t>。时间以“全国公路建设市场信用信息管理系统”上的交工日期为准。</w:t>
            </w:r>
          </w:p>
        </w:tc>
      </w:tr>
    </w:tbl>
    <w:p>
      <w:pPr>
        <w:spacing w:line="360" w:lineRule="auto"/>
        <w:ind w:left="284" w:leftChars="135" w:right="275" w:rightChars="131" w:hanging="1"/>
        <w:rPr>
          <w:rFonts w:ascii="宋体" w:hAnsi="宋体" w:cs="宋体"/>
          <w:b/>
          <w:color w:val="auto"/>
          <w:szCs w:val="21"/>
          <w:highlight w:val="none"/>
        </w:rPr>
      </w:pPr>
      <w:r>
        <w:rPr>
          <w:rFonts w:hint="eastAsia" w:ascii="宋体" w:hAnsi="宋体" w:cs="宋体"/>
          <w:b/>
          <w:color w:val="auto"/>
          <w:szCs w:val="21"/>
          <w:highlight w:val="none"/>
        </w:rPr>
        <w:t>注：1、应附在交通运输部“全国公路建设市场信用信息管理系统”中查询到的企业“业绩信息”相关项目网页截图复印件或网页打印件，即包括“项目名称”、“标段类型”、“合同价”、“主要工程量”等栏目在内的项目详细信息网页截图复印件或网页打印件。除网页截图复印件或网页打印件外，投标人无需再提供任何业绩证明材料。</w:t>
      </w:r>
    </w:p>
    <w:p>
      <w:pPr>
        <w:spacing w:line="360" w:lineRule="auto"/>
        <w:ind w:left="284" w:leftChars="135" w:right="275" w:rightChars="131" w:hanging="1"/>
        <w:rPr>
          <w:rFonts w:ascii="宋体" w:hAnsi="宋体" w:cs="宋体"/>
          <w:b/>
          <w:color w:val="auto"/>
          <w:szCs w:val="21"/>
          <w:highlight w:val="none"/>
        </w:rPr>
      </w:pPr>
      <w:r>
        <w:rPr>
          <w:rFonts w:hint="eastAsia" w:ascii="宋体" w:hAnsi="宋体" w:cs="宋体"/>
          <w:b/>
          <w:color w:val="auto"/>
          <w:szCs w:val="21"/>
          <w:highlight w:val="none"/>
        </w:rPr>
        <w:t>2、若投标人提供的业绩证明为联合体业绩，则按交通运输部“全国公路建设市场信用信息管理系统”业绩信息的网页截图体现其完成的工作量认定，无法界定其完成的工作量，此业绩不予认定。</w:t>
      </w:r>
    </w:p>
    <w:p>
      <w:pPr>
        <w:rPr>
          <w:rFonts w:hint="eastAsia" w:ascii="宋体" w:hAnsi="宋体" w:cs="宋体"/>
          <w:b/>
          <w:color w:val="auto"/>
          <w:szCs w:val="21"/>
          <w:highlight w:val="none"/>
        </w:rPr>
      </w:pPr>
    </w:p>
    <w:p>
      <w:pPr>
        <w:rPr>
          <w:rFonts w:hint="eastAsia" w:ascii="宋体" w:hAnsi="宋体" w:cs="宋体"/>
          <w:b/>
          <w:color w:val="auto"/>
          <w:szCs w:val="21"/>
          <w:highlight w:val="none"/>
        </w:rPr>
      </w:pPr>
      <w:r>
        <w:rPr>
          <w:rFonts w:hint="eastAsia" w:ascii="宋体" w:hAnsi="宋体" w:cs="宋体"/>
          <w:b/>
          <w:color w:val="auto"/>
          <w:szCs w:val="21"/>
          <w:highlight w:val="none"/>
        </w:rPr>
        <w:br w:type="page"/>
      </w:r>
    </w:p>
    <w:p>
      <w:pPr>
        <w:spacing w:afterLines="50"/>
        <w:jc w:val="center"/>
        <w:rPr>
          <w:rFonts w:ascii="宋体" w:hAnsi="宋体" w:cs="宋体"/>
          <w:color w:val="auto"/>
          <w:szCs w:val="21"/>
          <w:highlight w:val="none"/>
        </w:rPr>
      </w:pPr>
      <w:r>
        <w:rPr>
          <w:rFonts w:hint="eastAsia" w:ascii="宋体" w:hAnsi="宋体" w:cs="宋体"/>
          <w:b/>
          <w:color w:val="auto"/>
          <w:szCs w:val="21"/>
          <w:highlight w:val="none"/>
        </w:rPr>
        <w:t>附录2  资格审查条件</w:t>
      </w:r>
      <w:r>
        <w:rPr>
          <w:rFonts w:hint="eastAsia" w:ascii="宋体" w:hAnsi="宋体" w:cs="宋体"/>
          <w:color w:val="auto"/>
          <w:szCs w:val="21"/>
          <w:highlight w:val="none"/>
        </w:rPr>
        <w:t>（财务最低要求）</w:t>
      </w:r>
    </w:p>
    <w:tbl>
      <w:tblPr>
        <w:tblStyle w:val="7"/>
        <w:tblW w:w="924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9" w:hRule="atLeast"/>
        </w:trPr>
        <w:tc>
          <w:tcPr>
            <w:tcW w:w="9242" w:type="dxa"/>
            <w:tcBorders>
              <w:top w:val="single" w:color="auto" w:sz="12" w:space="0"/>
              <w:left w:val="single" w:color="auto" w:sz="12" w:space="0"/>
              <w:bottom w:val="single" w:color="auto" w:sz="6" w:space="0"/>
              <w:right w:val="single" w:color="auto" w:sz="12" w:space="0"/>
            </w:tcBorders>
            <w:noWrap w:val="0"/>
            <w:vAlign w:val="center"/>
          </w:tcPr>
          <w:p>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财 务 要 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85" w:hRule="atLeast"/>
        </w:trPr>
        <w:tc>
          <w:tcPr>
            <w:tcW w:w="9242" w:type="dxa"/>
            <w:tcBorders>
              <w:top w:val="single" w:color="auto" w:sz="6" w:space="0"/>
              <w:left w:val="single" w:color="auto" w:sz="12" w:space="0"/>
              <w:bottom w:val="single" w:color="auto" w:sz="12" w:space="0"/>
              <w:right w:val="single" w:color="auto" w:sz="12" w:space="0"/>
            </w:tcBorders>
            <w:noWrap w:val="0"/>
            <w:vAlign w:val="center"/>
          </w:tcPr>
          <w:p>
            <w:pPr>
              <w:autoSpaceDE w:val="0"/>
              <w:autoSpaceDN w:val="0"/>
              <w:adjustRightInd w:val="0"/>
              <w:snapToGrid w:val="0"/>
              <w:spacing w:line="460" w:lineRule="exact"/>
              <w:jc w:val="left"/>
              <w:rPr>
                <w:rFonts w:hint="eastAsia"/>
                <w:color w:val="auto"/>
                <w:highlight w:val="none"/>
              </w:rPr>
            </w:pPr>
            <w:r>
              <w:rPr>
                <w:rFonts w:hint="eastAsia"/>
                <w:color w:val="auto"/>
                <w:highlight w:val="none"/>
              </w:rPr>
              <w:t>1、企业净资产（总资产-总负债）不少于</w:t>
            </w:r>
            <w:r>
              <w:rPr>
                <w:rFonts w:hint="eastAsia"/>
                <w:color w:val="auto"/>
                <w:highlight w:val="none"/>
                <w:u w:val="single"/>
                <w:lang w:val="en-US" w:eastAsia="zh-CN"/>
              </w:rPr>
              <w:t xml:space="preserve"> 5000</w:t>
            </w:r>
            <w:r>
              <w:rPr>
                <w:rFonts w:hint="eastAsia"/>
                <w:color w:val="auto"/>
                <w:highlight w:val="none"/>
              </w:rPr>
              <w:t>万元人民币；</w:t>
            </w:r>
          </w:p>
          <w:p>
            <w:pPr>
              <w:autoSpaceDE w:val="0"/>
              <w:autoSpaceDN w:val="0"/>
              <w:adjustRightInd w:val="0"/>
              <w:snapToGrid w:val="0"/>
              <w:spacing w:line="460" w:lineRule="exact"/>
              <w:jc w:val="left"/>
              <w:rPr>
                <w:rFonts w:hint="eastAsia"/>
                <w:color w:val="auto"/>
                <w:highlight w:val="none"/>
              </w:rPr>
            </w:pPr>
            <w:r>
              <w:rPr>
                <w:rFonts w:hint="eastAsia"/>
                <w:color w:val="auto"/>
                <w:highlight w:val="none"/>
              </w:rPr>
              <w:t>2、营运资金（流动资产－流动负债）不少于</w:t>
            </w:r>
            <w:r>
              <w:rPr>
                <w:rFonts w:hint="eastAsia"/>
                <w:color w:val="auto"/>
                <w:highlight w:val="none"/>
                <w:u w:val="single"/>
                <w:lang w:val="en-US" w:eastAsia="zh-CN"/>
              </w:rPr>
              <w:t xml:space="preserve">  5000  </w:t>
            </w:r>
            <w:r>
              <w:rPr>
                <w:rFonts w:hint="eastAsia"/>
                <w:color w:val="auto"/>
                <w:highlight w:val="none"/>
              </w:rPr>
              <w:t>万元人民币；</w:t>
            </w:r>
          </w:p>
          <w:p>
            <w:pPr>
              <w:autoSpaceDE w:val="0"/>
              <w:autoSpaceDN w:val="0"/>
              <w:adjustRightInd w:val="0"/>
              <w:snapToGrid w:val="0"/>
              <w:spacing w:line="460" w:lineRule="exact"/>
              <w:jc w:val="left"/>
              <w:rPr>
                <w:rFonts w:hint="eastAsia"/>
                <w:color w:val="auto"/>
                <w:highlight w:val="none"/>
              </w:rPr>
            </w:pPr>
            <w:r>
              <w:rPr>
                <w:rFonts w:hint="eastAsia"/>
                <w:color w:val="auto"/>
                <w:highlight w:val="none"/>
              </w:rPr>
              <w:t>3、最近三个年度的平均</w:t>
            </w:r>
            <w:r>
              <w:rPr>
                <w:rFonts w:hint="eastAsia"/>
                <w:strike w:val="0"/>
                <w:dstrike w:val="0"/>
                <w:color w:val="auto"/>
                <w:highlight w:val="none"/>
              </w:rPr>
              <w:t>资产负债率小于 50%</w:t>
            </w:r>
            <w:r>
              <w:rPr>
                <w:rFonts w:hint="eastAsia"/>
                <w:color w:val="auto"/>
                <w:highlight w:val="none"/>
              </w:rPr>
              <w:t>；</w:t>
            </w:r>
          </w:p>
          <w:p>
            <w:pPr>
              <w:autoSpaceDE w:val="0"/>
              <w:autoSpaceDN w:val="0"/>
              <w:adjustRightInd w:val="0"/>
              <w:snapToGrid w:val="0"/>
              <w:spacing w:line="460" w:lineRule="exact"/>
              <w:jc w:val="left"/>
              <w:rPr>
                <w:rFonts w:hint="default" w:eastAsia="宋体"/>
                <w:color w:val="auto"/>
                <w:highlight w:val="none"/>
                <w:lang w:val="en-US" w:eastAsia="zh-CN"/>
              </w:rPr>
            </w:pPr>
            <w:r>
              <w:rPr>
                <w:rFonts w:hint="eastAsia"/>
                <w:color w:val="auto"/>
                <w:highlight w:val="none"/>
              </w:rPr>
              <w:t>4、最近三个年</w:t>
            </w:r>
            <w:r>
              <w:rPr>
                <w:rFonts w:hint="eastAsia"/>
                <w:color w:val="auto"/>
                <w:highlight w:val="none"/>
                <w:lang w:eastAsia="zh-CN"/>
              </w:rPr>
              <w:t>至少有</w:t>
            </w:r>
            <w:r>
              <w:rPr>
                <w:rFonts w:hint="eastAsia"/>
                <w:color w:val="auto"/>
                <w:highlight w:val="none"/>
                <w:u w:val="single"/>
                <w:lang w:val="en-US" w:eastAsia="zh-CN"/>
              </w:rPr>
              <w:t xml:space="preserve"> 3 </w:t>
            </w:r>
            <w:r>
              <w:rPr>
                <w:rFonts w:hint="eastAsia"/>
                <w:color w:val="auto"/>
                <w:highlight w:val="none"/>
                <w:lang w:val="en-US" w:eastAsia="zh-CN"/>
              </w:rPr>
              <w:t>年盈利。</w:t>
            </w:r>
          </w:p>
        </w:tc>
      </w:tr>
    </w:tbl>
    <w:p>
      <w:pPr>
        <w:jc w:val="left"/>
        <w:rPr>
          <w:rFonts w:ascii="宋体" w:hAnsi="宋体" w:cs="宋体"/>
          <w:color w:val="auto"/>
          <w:kern w:val="0"/>
          <w:sz w:val="18"/>
          <w:szCs w:val="18"/>
          <w:highlight w:val="none"/>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Times New Roman" w:cs="宋体"/>
          <w:color w:val="auto"/>
          <w:sz w:val="15"/>
          <w:szCs w:val="22"/>
          <w:highlight w:val="none"/>
          <w:lang w:val="en-US" w:eastAsia="en-US" w:bidi="ar-SA"/>
        </w:rPr>
      </w:pPr>
      <w:r>
        <w:rPr>
          <w:rFonts w:ascii="宋体" w:hAnsi="宋体" w:eastAsia="Times New Roman" w:cs="宋体"/>
          <w:color w:val="auto"/>
          <w:sz w:val="15"/>
          <w:szCs w:val="22"/>
          <w:highlight w:val="none"/>
          <w:lang w:val="en-US" w:eastAsia="en-US" w:bidi="ar-SA"/>
        </w:rPr>
        <w:t>注：1、企业净资产、营运资金是按交通运输部</w:t>
      </w:r>
      <w:r>
        <w:rPr>
          <w:rFonts w:ascii="GRAENB+TimesNewRomanPSMT" w:hAnsi="GRAENB+TimesNewRomanPSMT" w:eastAsia="Times New Roman" w:cs="GRAENB+TimesNewRomanPSMT"/>
          <w:color w:val="auto"/>
          <w:spacing w:val="-1"/>
          <w:sz w:val="15"/>
          <w:szCs w:val="22"/>
          <w:highlight w:val="none"/>
          <w:lang w:val="en-US" w:eastAsia="en-US" w:bidi="ar-SA"/>
        </w:rPr>
        <w:t>“</w:t>
      </w:r>
      <w:r>
        <w:rPr>
          <w:rFonts w:ascii="宋体" w:hAnsi="宋体" w:eastAsia="Times New Roman" w:cs="宋体"/>
          <w:color w:val="auto"/>
          <w:sz w:val="15"/>
          <w:szCs w:val="22"/>
          <w:highlight w:val="none"/>
          <w:lang w:val="en-US" w:eastAsia="en-US" w:bidi="ar-SA"/>
        </w:rPr>
        <w:t>全国公路建设市场信用信息管理系统</w:t>
      </w:r>
      <w:r>
        <w:rPr>
          <w:rFonts w:ascii="GRAENB+TimesNewRomanPSMT" w:hAnsi="GRAENB+TimesNewRomanPSMT" w:eastAsia="Times New Roman" w:cs="GRAENB+TimesNewRomanPSMT"/>
          <w:color w:val="auto"/>
          <w:spacing w:val="1"/>
          <w:sz w:val="15"/>
          <w:szCs w:val="22"/>
          <w:highlight w:val="none"/>
          <w:lang w:val="en-US" w:eastAsia="en-US" w:bidi="ar-SA"/>
        </w:rPr>
        <w:t>”</w:t>
      </w:r>
      <w:r>
        <w:rPr>
          <w:rFonts w:ascii="宋体" w:hAnsi="宋体" w:eastAsia="Times New Roman" w:cs="宋体"/>
          <w:color w:val="auto"/>
          <w:sz w:val="15"/>
          <w:szCs w:val="22"/>
          <w:highlight w:val="none"/>
          <w:lang w:val="en-US" w:eastAsia="en-US" w:bidi="ar-SA"/>
        </w:rPr>
        <w:t>登记的最新年度数据计算得出。</w:t>
      </w:r>
    </w:p>
    <w:p>
      <w:pPr>
        <w:keepNext w:val="0"/>
        <w:keepLines w:val="0"/>
        <w:pageBreakBefore w:val="0"/>
        <w:widowControl w:val="0"/>
        <w:kinsoku/>
        <w:wordWrap/>
        <w:overflowPunct/>
        <w:topLinePunct w:val="0"/>
        <w:autoSpaceDE/>
        <w:autoSpaceDN/>
        <w:bidi w:val="0"/>
        <w:adjustRightInd/>
        <w:snapToGrid/>
        <w:spacing w:line="360" w:lineRule="auto"/>
        <w:ind w:firstLine="300" w:firstLineChars="200"/>
        <w:textAlignment w:val="auto"/>
        <w:rPr>
          <w:rFonts w:hAnsi="Times New Roman" w:eastAsia="Times New Roman" w:cs="Times New Roman"/>
          <w:color w:val="auto"/>
          <w:sz w:val="15"/>
          <w:szCs w:val="22"/>
          <w:highlight w:val="none"/>
          <w:lang w:val="en-US" w:eastAsia="en-US" w:bidi="ar-SA"/>
        </w:rPr>
      </w:pPr>
      <w:r>
        <w:rPr>
          <w:rFonts w:ascii="宋体" w:hAnsi="宋体" w:eastAsia="Times New Roman" w:cs="宋体"/>
          <w:color w:val="auto"/>
          <w:sz w:val="15"/>
          <w:szCs w:val="22"/>
          <w:highlight w:val="none"/>
          <w:lang w:val="en-US" w:eastAsia="en-US" w:bidi="ar-SA"/>
        </w:rPr>
        <w:t>2、近三个年度财务信息以申请人提供的“全国公路建设市场信用信息管理系统”企业所填的信息截图为准。</w:t>
      </w:r>
    </w:p>
    <w:p>
      <w:pPr>
        <w:spacing w:line="360" w:lineRule="auto"/>
        <w:ind w:left="284" w:leftChars="135" w:right="275" w:rightChars="131" w:hanging="1"/>
        <w:rPr>
          <w:rFonts w:ascii="宋体" w:hAnsi="宋体" w:eastAsia="Times New Roman" w:cs="宋体"/>
          <w:color w:val="auto"/>
          <w:sz w:val="15"/>
          <w:szCs w:val="22"/>
          <w:highlight w:val="none"/>
          <w:lang w:val="en-US" w:eastAsia="en-US" w:bidi="ar-SA"/>
        </w:rPr>
      </w:pPr>
      <w:r>
        <w:rPr>
          <w:rFonts w:ascii="宋体" w:hAnsi="宋体" w:eastAsia="Times New Roman" w:cs="宋体"/>
          <w:color w:val="auto"/>
          <w:sz w:val="15"/>
          <w:szCs w:val="22"/>
          <w:highlight w:val="none"/>
          <w:lang w:val="en-US" w:eastAsia="en-US" w:bidi="ar-SA"/>
        </w:rPr>
        <w:t>3、以联合体形式申请资格预审的，其财务能力以所有成员（含牵头人）合并计算为准。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Times New Roman" w:cs="宋体"/>
          <w:color w:val="auto"/>
          <w:sz w:val="15"/>
          <w:szCs w:val="22"/>
          <w:highlight w:val="none"/>
          <w:lang w:val="en-US" w:eastAsia="zh-CN" w:bidi="ar-SA"/>
        </w:rPr>
      </w:pPr>
      <w:r>
        <w:rPr>
          <w:rFonts w:ascii="宋体" w:hAnsi="宋体" w:eastAsia="Times New Roman" w:cs="宋体"/>
          <w:color w:val="auto"/>
          <w:sz w:val="15"/>
          <w:szCs w:val="22"/>
          <w:highlight w:val="none"/>
          <w:lang w:val="en-US" w:eastAsia="en-US" w:bidi="ar-SA"/>
        </w:rPr>
        <w:br w:type="page"/>
      </w:r>
    </w:p>
    <w:p>
      <w:pPr>
        <w:ind w:left="284" w:leftChars="135" w:right="275" w:rightChars="131" w:hanging="1"/>
        <w:rPr>
          <w:rFonts w:ascii="宋体" w:hAnsi="宋体" w:cs="宋体"/>
          <w:b/>
          <w:color w:val="auto"/>
          <w:szCs w:val="21"/>
          <w:highlight w:val="none"/>
        </w:rPr>
      </w:pPr>
    </w:p>
    <w:p>
      <w:pPr>
        <w:ind w:left="284" w:leftChars="135" w:right="275" w:rightChars="131" w:hanging="1"/>
        <w:jc w:val="center"/>
        <w:rPr>
          <w:rFonts w:ascii="宋体" w:hAnsi="宋体" w:cs="宋体"/>
          <w:color w:val="auto"/>
          <w:szCs w:val="21"/>
          <w:highlight w:val="none"/>
        </w:rPr>
      </w:pPr>
      <w:r>
        <w:rPr>
          <w:rFonts w:hint="eastAsia" w:ascii="宋体" w:hAnsi="宋体" w:cs="宋体"/>
          <w:b/>
          <w:color w:val="auto"/>
          <w:szCs w:val="21"/>
          <w:highlight w:val="none"/>
        </w:rPr>
        <w:t>附录</w:t>
      </w:r>
      <w:r>
        <w:rPr>
          <w:rFonts w:hint="eastAsia" w:ascii="宋体" w:hAnsi="宋体" w:cs="宋体"/>
          <w:b/>
          <w:color w:val="auto"/>
          <w:szCs w:val="21"/>
          <w:highlight w:val="none"/>
          <w:lang w:val="en-US" w:eastAsia="zh-CN"/>
        </w:rPr>
        <w:t>4</w:t>
      </w:r>
      <w:r>
        <w:rPr>
          <w:rFonts w:hint="eastAsia" w:ascii="宋体" w:hAnsi="宋体" w:cs="宋体"/>
          <w:b/>
          <w:color w:val="auto"/>
          <w:szCs w:val="21"/>
          <w:highlight w:val="none"/>
        </w:rPr>
        <w:t xml:space="preserve">   资格审查条件</w:t>
      </w:r>
      <w:r>
        <w:rPr>
          <w:rFonts w:hint="eastAsia" w:ascii="宋体" w:hAnsi="宋体" w:cs="宋体"/>
          <w:color w:val="auto"/>
          <w:szCs w:val="21"/>
          <w:highlight w:val="none"/>
        </w:rPr>
        <w:t>（信誉最低要求）</w:t>
      </w:r>
    </w:p>
    <w:tbl>
      <w:tblPr>
        <w:tblStyle w:val="7"/>
        <w:tblW w:w="9242"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242" w:type="dxa"/>
            <w:tcBorders>
              <w:top w:val="single" w:color="auto" w:sz="12" w:space="0"/>
              <w:left w:val="single" w:color="auto" w:sz="12" w:space="0"/>
              <w:bottom w:val="single" w:color="auto" w:sz="4" w:space="0"/>
              <w:right w:val="single" w:color="auto" w:sz="12"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信 誉 要 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14" w:hRule="atLeast"/>
          <w:jc w:val="center"/>
        </w:trPr>
        <w:tc>
          <w:tcPr>
            <w:tcW w:w="9242" w:type="dxa"/>
            <w:tcBorders>
              <w:top w:val="single" w:color="auto" w:sz="4" w:space="0"/>
              <w:left w:val="single" w:color="auto" w:sz="12" w:space="0"/>
              <w:bottom w:val="single" w:color="auto" w:sz="12" w:space="0"/>
              <w:right w:val="single" w:color="auto" w:sz="12" w:space="0"/>
            </w:tcBorders>
            <w:noWrap w:val="0"/>
            <w:vAlign w:val="center"/>
          </w:tcPr>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1、没有处于被责令停业，财务被接管、冻结、破产状态；</w:t>
            </w:r>
          </w:p>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2、没有被交通运输部、广东省交通厅通报并取消相应投标资格（处于有效期内）；</w:t>
            </w:r>
          </w:p>
          <w:p>
            <w:pPr>
              <w:autoSpaceDE w:val="0"/>
              <w:autoSpaceDN w:val="0"/>
              <w:adjustRightInd w:val="0"/>
              <w:snapToGrid w:val="0"/>
              <w:spacing w:line="460" w:lineRule="exact"/>
              <w:ind w:firstLine="420" w:firstLineChars="200"/>
              <w:jc w:val="left"/>
              <w:rPr>
                <w:rFonts w:ascii="宋体" w:hAnsi="宋体" w:cs="宋体"/>
                <w:color w:val="auto"/>
                <w:kern w:val="0"/>
                <w:szCs w:val="21"/>
                <w:highlight w:val="none"/>
              </w:rPr>
            </w:pPr>
            <w:r>
              <w:rPr>
                <w:rFonts w:hint="eastAsia" w:ascii="宋体" w:hAnsi="宋体" w:cs="宋体"/>
                <w:color w:val="auto"/>
                <w:kern w:val="0"/>
                <w:szCs w:val="21"/>
                <w:highlight w:val="none"/>
              </w:rPr>
              <w:t>3、在最新年度广东省公路工程从业单位（施工单位）信用评价（含无最新年度而上一年度有信用评价）中，信用等级未被评为D级；初次进入广东省的投标人，在最新年度的全国公路从业单位（施工单位）信用评价结果中未被评为D级。 </w:t>
            </w:r>
          </w:p>
        </w:tc>
      </w:tr>
    </w:tbl>
    <w:p>
      <w:pPr>
        <w:keepNext w:val="0"/>
        <w:keepLines w:val="0"/>
        <w:pageBreakBefore w:val="0"/>
        <w:widowControl w:val="0"/>
        <w:kinsoku/>
        <w:wordWrap/>
        <w:overflowPunct/>
        <w:topLinePunct w:val="0"/>
        <w:autoSpaceDE/>
        <w:autoSpaceDN/>
        <w:bidi w:val="0"/>
        <w:adjustRightInd/>
        <w:snapToGrid/>
        <w:spacing w:line="360" w:lineRule="auto"/>
        <w:ind w:firstLine="300" w:firstLineChars="200"/>
        <w:textAlignment w:val="auto"/>
        <w:rPr>
          <w:rFonts w:ascii="宋体" w:hAnsi="宋体" w:eastAsia="Times New Roman" w:cs="宋体"/>
          <w:color w:val="auto"/>
          <w:sz w:val="15"/>
          <w:szCs w:val="22"/>
          <w:highlight w:val="none"/>
          <w:lang w:val="en-US" w:eastAsia="en-US" w:bidi="ar-SA"/>
        </w:rPr>
      </w:pPr>
      <w:r>
        <w:rPr>
          <w:rFonts w:hint="eastAsia" w:ascii="宋体" w:hAnsi="宋体" w:eastAsia="Times New Roman" w:cs="宋体"/>
          <w:color w:val="auto"/>
          <w:sz w:val="15"/>
          <w:szCs w:val="22"/>
          <w:highlight w:val="none"/>
          <w:lang w:val="en-US" w:eastAsia="en-US" w:bidi="ar-SA"/>
        </w:rPr>
        <w:t>注：1、对投标人伪造、涂改查询结果证明材料的，按提供虚假材料而否决其投标，并按不良投标行为予以公告。</w:t>
      </w:r>
    </w:p>
    <w:p>
      <w:pPr>
        <w:keepNext w:val="0"/>
        <w:keepLines w:val="0"/>
        <w:pageBreakBefore w:val="0"/>
        <w:widowControl w:val="0"/>
        <w:kinsoku/>
        <w:wordWrap/>
        <w:overflowPunct/>
        <w:topLinePunct w:val="0"/>
        <w:autoSpaceDE/>
        <w:autoSpaceDN/>
        <w:bidi w:val="0"/>
        <w:adjustRightInd/>
        <w:snapToGrid/>
        <w:spacing w:line="360" w:lineRule="auto"/>
        <w:ind w:firstLine="300" w:firstLineChars="200"/>
        <w:textAlignment w:val="auto"/>
        <w:rPr>
          <w:rFonts w:ascii="宋体" w:hAnsi="宋体" w:eastAsia="Times New Roman" w:cs="宋体"/>
          <w:color w:val="auto"/>
          <w:sz w:val="15"/>
          <w:szCs w:val="22"/>
          <w:highlight w:val="none"/>
          <w:lang w:val="en-US" w:eastAsia="en-US" w:bidi="ar-SA"/>
        </w:rPr>
      </w:pPr>
      <w:r>
        <w:rPr>
          <w:rFonts w:hint="eastAsia" w:ascii="宋体" w:hAnsi="宋体" w:eastAsia="Times New Roman" w:cs="宋体"/>
          <w:color w:val="auto"/>
          <w:sz w:val="15"/>
          <w:szCs w:val="22"/>
          <w:highlight w:val="none"/>
          <w:lang w:val="en-US" w:eastAsia="en-US" w:bidi="ar-SA"/>
        </w:rPr>
        <w:t>2、信用等级的确定原则遵循申请人须知前附表10.2款的规定。</w:t>
      </w:r>
    </w:p>
    <w:p>
      <w:pPr>
        <w:ind w:left="284" w:leftChars="135" w:right="275" w:rightChars="131" w:hanging="1"/>
        <w:rPr>
          <w:rFonts w:ascii="宋体" w:hAnsi="宋体" w:cs="宋体"/>
          <w:b/>
          <w:color w:val="auto"/>
          <w:szCs w:val="21"/>
          <w:highlight w:val="none"/>
        </w:rPr>
        <w:sectPr>
          <w:footnotePr>
            <w:numFmt w:val="decimalEnclosedCircleChinese"/>
            <w:numRestart w:val="eachPage"/>
          </w:footnotePr>
          <w:pgSz w:w="11907" w:h="16840"/>
          <w:pgMar w:top="1440" w:right="1361" w:bottom="1440" w:left="1361" w:header="850" w:footer="850" w:gutter="0"/>
          <w:pgNumType w:fmt="decimal"/>
          <w:cols w:space="720" w:num="1"/>
        </w:sectPr>
      </w:pPr>
    </w:p>
    <w:p>
      <w:pPr>
        <w:spacing w:afterLines="50"/>
        <w:jc w:val="center"/>
        <w:rPr>
          <w:rFonts w:ascii="宋体" w:hAnsi="宋体" w:cs="宋体"/>
          <w:color w:val="auto"/>
          <w:szCs w:val="21"/>
          <w:highlight w:val="none"/>
        </w:rPr>
      </w:pPr>
      <w:r>
        <w:rPr>
          <w:rFonts w:hint="eastAsia" w:ascii="宋体" w:hAnsi="宋体" w:cs="宋体"/>
          <w:b/>
          <w:color w:val="auto"/>
          <w:szCs w:val="21"/>
          <w:highlight w:val="none"/>
        </w:rPr>
        <w:t>附录</w:t>
      </w:r>
      <w:r>
        <w:rPr>
          <w:rFonts w:hint="eastAsia" w:ascii="宋体" w:hAnsi="宋体" w:cs="宋体"/>
          <w:b/>
          <w:color w:val="auto"/>
          <w:szCs w:val="21"/>
          <w:highlight w:val="none"/>
          <w:lang w:val="en-US" w:eastAsia="zh-CN"/>
        </w:rPr>
        <w:t>5</w:t>
      </w:r>
      <w:r>
        <w:rPr>
          <w:rFonts w:hint="eastAsia" w:ascii="宋体" w:hAnsi="宋体" w:cs="宋体"/>
          <w:b/>
          <w:color w:val="auto"/>
          <w:szCs w:val="21"/>
          <w:highlight w:val="none"/>
        </w:rPr>
        <w:t xml:space="preserve"> 资格审查条件</w:t>
      </w:r>
      <w:r>
        <w:rPr>
          <w:rFonts w:hint="eastAsia" w:ascii="宋体" w:hAnsi="宋体" w:cs="宋体"/>
          <w:color w:val="auto"/>
          <w:szCs w:val="21"/>
          <w:highlight w:val="none"/>
        </w:rPr>
        <w:t>（项目经理和项目总工最低要求）</w:t>
      </w:r>
    </w:p>
    <w:tbl>
      <w:tblPr>
        <w:tblStyle w:val="7"/>
        <w:tblW w:w="942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78"/>
        <w:gridCol w:w="1075"/>
        <w:gridCol w:w="458"/>
        <w:gridCol w:w="5368"/>
        <w:gridCol w:w="21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78" w:type="dxa"/>
            <w:tcBorders>
              <w:top w:val="single" w:color="auto" w:sz="12" w:space="0"/>
              <w:left w:val="single" w:color="auto" w:sz="12" w:space="0"/>
              <w:bottom w:val="single" w:color="auto" w:sz="4" w:space="0"/>
              <w:right w:val="single" w:color="auto" w:sz="4" w:space="0"/>
            </w:tcBorders>
            <w:noWrap w:val="0"/>
            <w:vAlign w:val="center"/>
          </w:tcPr>
          <w:p>
            <w:pPr>
              <w:rPr>
                <w:rFonts w:ascii="宋体" w:hAnsi="宋体" w:cs="宋体"/>
                <w:color w:val="auto"/>
                <w:szCs w:val="21"/>
                <w:highlight w:val="none"/>
              </w:rPr>
            </w:pPr>
            <w:r>
              <w:rPr>
                <w:rFonts w:hint="eastAsia" w:ascii="宋体" w:hAnsi="宋体" w:cs="宋体"/>
                <w:color w:val="auto"/>
                <w:sz w:val="24"/>
                <w:highlight w:val="none"/>
              </w:rPr>
              <w:t>序号</w:t>
            </w:r>
          </w:p>
        </w:tc>
        <w:tc>
          <w:tcPr>
            <w:tcW w:w="1075"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人  员</w:t>
            </w:r>
          </w:p>
        </w:tc>
        <w:tc>
          <w:tcPr>
            <w:tcW w:w="458"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数  量</w:t>
            </w:r>
          </w:p>
        </w:tc>
        <w:tc>
          <w:tcPr>
            <w:tcW w:w="5368" w:type="dxa"/>
            <w:tcBorders>
              <w:top w:val="single" w:color="auto" w:sz="12" w:space="0"/>
              <w:left w:val="single" w:color="auto" w:sz="4" w:space="0"/>
              <w:bottom w:val="single" w:color="auto" w:sz="4" w:space="0"/>
              <w:right w:val="single" w:color="auto" w:sz="12"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 格 要 求</w:t>
            </w:r>
          </w:p>
        </w:tc>
        <w:tc>
          <w:tcPr>
            <w:tcW w:w="2148" w:type="dxa"/>
            <w:tcBorders>
              <w:top w:val="single" w:color="auto" w:sz="12" w:space="0"/>
              <w:left w:val="single" w:color="auto" w:sz="4" w:space="0"/>
              <w:bottom w:val="single" w:color="auto" w:sz="4" w:space="0"/>
              <w:right w:val="single" w:color="auto" w:sz="12"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在岗要求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78" w:type="dxa"/>
            <w:tcBorders>
              <w:top w:val="single" w:color="auto" w:sz="4" w:space="0"/>
              <w:left w:val="single" w:color="auto" w:sz="12" w:space="0"/>
              <w:right w:val="single" w:color="auto" w:sz="4" w:space="0"/>
            </w:tcBorders>
            <w:noWrap w:val="0"/>
            <w:vAlign w:val="center"/>
          </w:tcPr>
          <w:p>
            <w:pPr>
              <w:rPr>
                <w:rFonts w:ascii="宋体" w:hAnsi="宋体" w:cs="宋体"/>
                <w:color w:val="auto"/>
                <w:kern w:val="0"/>
                <w:szCs w:val="21"/>
                <w:highlight w:val="none"/>
              </w:rPr>
            </w:pPr>
            <w:r>
              <w:rPr>
                <w:rFonts w:hint="eastAsia" w:ascii="宋体" w:hAnsi="宋体" w:cs="宋体"/>
                <w:color w:val="auto"/>
                <w:sz w:val="24"/>
                <w:highlight w:val="none"/>
              </w:rPr>
              <w:t>1</w:t>
            </w:r>
          </w:p>
        </w:tc>
        <w:tc>
          <w:tcPr>
            <w:tcW w:w="1075" w:type="dxa"/>
            <w:tcBorders>
              <w:top w:val="single" w:color="auto" w:sz="4" w:space="0"/>
              <w:left w:val="single" w:color="auto" w:sz="4" w:space="0"/>
              <w:right w:val="single" w:color="auto" w:sz="4" w:space="0"/>
            </w:tcBorders>
            <w:noWrap w:val="0"/>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项目经理</w:t>
            </w:r>
          </w:p>
        </w:tc>
        <w:tc>
          <w:tcPr>
            <w:tcW w:w="45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368" w:type="dxa"/>
            <w:vMerge w:val="restart"/>
            <w:tcBorders>
              <w:top w:val="single" w:color="auto" w:sz="4" w:space="0"/>
              <w:left w:val="single" w:color="auto" w:sz="4" w:space="0"/>
              <w:right w:val="single" w:color="auto" w:sz="12" w:space="0"/>
            </w:tcBorders>
            <w:noWrap w:val="0"/>
            <w:vAlign w:val="center"/>
          </w:tcPr>
          <w:p>
            <w:pPr>
              <w:autoSpaceDE w:val="0"/>
              <w:autoSpaceDN w:val="0"/>
              <w:adjustRightInd w:val="0"/>
              <w:snapToGrid w:val="0"/>
              <w:spacing w:line="46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工程师，担任类似工程项目经理或项目副经理岗位累计</w:t>
            </w:r>
            <w:r>
              <w:rPr>
                <w:rFonts w:hint="eastAsia" w:ascii="宋体" w:hAnsi="宋体" w:cs="宋体"/>
                <w:color w:val="auto"/>
                <w:kern w:val="0"/>
                <w:szCs w:val="21"/>
                <w:highlight w:val="none"/>
                <w:lang w:val="en-US" w:eastAsia="zh-CN"/>
              </w:rPr>
              <w:t>36</w:t>
            </w:r>
            <w:r>
              <w:rPr>
                <w:rFonts w:hint="eastAsia" w:ascii="宋体" w:hAnsi="宋体" w:cs="宋体"/>
                <w:color w:val="auto"/>
                <w:kern w:val="0"/>
                <w:szCs w:val="21"/>
                <w:highlight w:val="none"/>
              </w:rPr>
              <w:t>个月</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并同时持有住房和城乡建设部颁发的公路工程专业</w:t>
            </w:r>
            <w:r>
              <w:rPr>
                <w:rFonts w:hint="eastAsia" w:ascii="宋体" w:hAnsi="宋体" w:cs="宋体"/>
                <w:color w:val="auto"/>
                <w:kern w:val="0"/>
                <w:szCs w:val="21"/>
                <w:highlight w:val="none"/>
                <w:lang w:eastAsia="zh-CN"/>
              </w:rPr>
              <w:t>二</w:t>
            </w:r>
            <w:r>
              <w:rPr>
                <w:rFonts w:hint="eastAsia" w:ascii="宋体" w:hAnsi="宋体" w:cs="宋体"/>
                <w:color w:val="auto"/>
                <w:kern w:val="0"/>
                <w:szCs w:val="21"/>
                <w:highlight w:val="none"/>
              </w:rPr>
              <w:t>级</w:t>
            </w:r>
            <w:r>
              <w:rPr>
                <w:rFonts w:hint="eastAsia" w:ascii="宋体" w:hAnsi="宋体" w:cs="宋体"/>
                <w:color w:val="auto"/>
                <w:kern w:val="0"/>
                <w:szCs w:val="21"/>
                <w:highlight w:val="none"/>
                <w:lang w:eastAsia="zh-CN"/>
              </w:rPr>
              <w:t>或以上</w:t>
            </w:r>
            <w:r>
              <w:rPr>
                <w:rFonts w:hint="eastAsia" w:ascii="宋体" w:hAnsi="宋体" w:cs="宋体"/>
                <w:color w:val="auto"/>
                <w:kern w:val="0"/>
                <w:szCs w:val="21"/>
                <w:highlight w:val="none"/>
              </w:rPr>
              <w:t>建造师注册证书(不含临时注册证书)，具有交通主管部门颁发的有效安全生产“三类人员”B类证书。年龄不超过55周岁。</w:t>
            </w:r>
          </w:p>
        </w:tc>
        <w:tc>
          <w:tcPr>
            <w:tcW w:w="2148" w:type="dxa"/>
            <w:vMerge w:val="restart"/>
            <w:tcBorders>
              <w:top w:val="single" w:color="auto" w:sz="4" w:space="0"/>
              <w:left w:val="single" w:color="auto" w:sz="4" w:space="0"/>
              <w:right w:val="single" w:color="auto" w:sz="12" w:space="0"/>
            </w:tcBorders>
            <w:noWrap w:val="0"/>
            <w:vAlign w:val="center"/>
          </w:tcPr>
          <w:p>
            <w:pPr>
              <w:autoSpaceDE w:val="0"/>
              <w:autoSpaceDN w:val="0"/>
              <w:adjustRightInd w:val="0"/>
              <w:snapToGrid w:val="0"/>
              <w:spacing w:line="46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无在岗项目（指目前未在其他项目上任职，或虽在其他项目上任职但本项目中标后能够从该项目撤离）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378" w:type="dxa"/>
            <w:tcBorders>
              <w:top w:val="single" w:color="auto" w:sz="4" w:space="0"/>
              <w:left w:val="single" w:color="auto" w:sz="12" w:space="0"/>
              <w:right w:val="single" w:color="auto" w:sz="4" w:space="0"/>
            </w:tcBorders>
            <w:noWrap w:val="0"/>
            <w:vAlign w:val="center"/>
          </w:tcPr>
          <w:p>
            <w:pP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w:t>
            </w:r>
          </w:p>
        </w:tc>
        <w:tc>
          <w:tcPr>
            <w:tcW w:w="1075" w:type="dxa"/>
            <w:tcBorders>
              <w:top w:val="single" w:color="auto" w:sz="4" w:space="0"/>
              <w:left w:val="single" w:color="auto" w:sz="4" w:space="0"/>
              <w:right w:val="single" w:color="auto" w:sz="4" w:space="0"/>
            </w:tcBorders>
            <w:noWrap w:val="0"/>
            <w:vAlign w:val="center"/>
          </w:tcPr>
          <w:p>
            <w:pPr>
              <w:autoSpaceDE w:val="0"/>
              <w:autoSpaceDN w:val="0"/>
              <w:adjustRightInd w:val="0"/>
              <w:snapToGrid w:val="0"/>
              <w:spacing w:line="46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项目经理</w:t>
            </w:r>
            <w:r>
              <w:rPr>
                <w:rFonts w:hint="eastAsia" w:ascii="宋体" w:hAnsi="宋体" w:cs="宋体"/>
                <w:color w:val="auto"/>
                <w:kern w:val="0"/>
                <w:szCs w:val="21"/>
                <w:highlight w:val="none"/>
                <w:lang w:eastAsia="zh-CN"/>
              </w:rPr>
              <w:t>备选人</w:t>
            </w:r>
          </w:p>
        </w:tc>
        <w:tc>
          <w:tcPr>
            <w:tcW w:w="45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60" w:lineRule="exact"/>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p>
        </w:tc>
        <w:tc>
          <w:tcPr>
            <w:tcW w:w="5368" w:type="dxa"/>
            <w:vMerge w:val="continue"/>
            <w:tcBorders>
              <w:left w:val="single" w:color="auto" w:sz="4" w:space="0"/>
              <w:right w:val="single" w:color="auto" w:sz="12" w:space="0"/>
            </w:tcBorders>
            <w:noWrap w:val="0"/>
            <w:vAlign w:val="center"/>
          </w:tcPr>
          <w:p>
            <w:pPr>
              <w:autoSpaceDE w:val="0"/>
              <w:autoSpaceDN w:val="0"/>
              <w:adjustRightInd w:val="0"/>
              <w:snapToGrid w:val="0"/>
              <w:spacing w:line="460" w:lineRule="exact"/>
              <w:jc w:val="left"/>
              <w:rPr>
                <w:rFonts w:hint="eastAsia" w:ascii="宋体" w:hAnsi="宋体" w:cs="宋体"/>
                <w:color w:val="auto"/>
                <w:kern w:val="0"/>
                <w:szCs w:val="21"/>
                <w:highlight w:val="none"/>
              </w:rPr>
            </w:pPr>
          </w:p>
        </w:tc>
        <w:tc>
          <w:tcPr>
            <w:tcW w:w="2148" w:type="dxa"/>
            <w:vMerge w:val="continue"/>
            <w:tcBorders>
              <w:left w:val="single" w:color="auto" w:sz="4" w:space="0"/>
              <w:right w:val="single" w:color="auto" w:sz="12" w:space="0"/>
            </w:tcBorders>
            <w:noWrap w:val="0"/>
            <w:vAlign w:val="center"/>
          </w:tcPr>
          <w:p>
            <w:pPr>
              <w:autoSpaceDE w:val="0"/>
              <w:autoSpaceDN w:val="0"/>
              <w:adjustRightInd w:val="0"/>
              <w:snapToGrid w:val="0"/>
              <w:spacing w:line="460" w:lineRule="exact"/>
              <w:jc w:val="left"/>
              <w:rPr>
                <w:rFonts w:hint="eastAsia" w:ascii="宋体" w:hAnsi="宋体" w:cs="宋体"/>
                <w:color w:val="auto"/>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378" w:type="dxa"/>
            <w:tcBorders>
              <w:top w:val="single" w:color="auto" w:sz="4" w:space="0"/>
              <w:left w:val="single" w:color="auto" w:sz="12" w:space="0"/>
              <w:bottom w:val="single" w:color="auto" w:sz="4" w:space="0"/>
              <w:right w:val="single" w:color="auto" w:sz="4" w:space="0"/>
            </w:tcBorders>
            <w:noWrap w:val="0"/>
            <w:vAlign w:val="center"/>
          </w:tcPr>
          <w:p>
            <w:pP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3</w:t>
            </w:r>
          </w:p>
        </w:tc>
        <w:tc>
          <w:tcPr>
            <w:tcW w:w="107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项目总工</w:t>
            </w:r>
          </w:p>
        </w:tc>
        <w:tc>
          <w:tcPr>
            <w:tcW w:w="45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5368" w:type="dxa"/>
            <w:vMerge w:val="restart"/>
            <w:tcBorders>
              <w:top w:val="single" w:color="auto" w:sz="4" w:space="0"/>
              <w:left w:val="single" w:color="auto" w:sz="4" w:space="0"/>
              <w:right w:val="single" w:color="auto" w:sz="12" w:space="0"/>
            </w:tcBorders>
            <w:noWrap w:val="0"/>
            <w:vAlign w:val="center"/>
          </w:tcPr>
          <w:p>
            <w:pPr>
              <w:autoSpaceDE w:val="0"/>
              <w:autoSpaceDN w:val="0"/>
              <w:adjustRightInd w:val="0"/>
              <w:snapToGrid w:val="0"/>
              <w:spacing w:line="460" w:lineRule="exact"/>
              <w:jc w:val="left"/>
              <w:rPr>
                <w:rFonts w:ascii="宋体" w:hAnsi="宋体" w:cs="宋体"/>
                <w:color w:val="auto"/>
                <w:kern w:val="0"/>
                <w:szCs w:val="21"/>
                <w:highlight w:val="none"/>
              </w:rPr>
            </w:pPr>
            <w:r>
              <w:rPr>
                <w:rFonts w:hint="eastAsia" w:ascii="宋体" w:hAnsi="宋体" w:cs="宋体"/>
                <w:color w:val="auto"/>
                <w:kern w:val="0"/>
                <w:szCs w:val="21"/>
                <w:highlight w:val="none"/>
              </w:rPr>
              <w:t>路桥相关专业高级工程师，主管类似工程技术工作岗位累计</w:t>
            </w:r>
            <w:r>
              <w:rPr>
                <w:rFonts w:hint="eastAsia" w:ascii="宋体" w:hAnsi="宋体" w:cs="宋体"/>
                <w:color w:val="auto"/>
                <w:kern w:val="0"/>
                <w:szCs w:val="21"/>
                <w:highlight w:val="none"/>
                <w:lang w:val="en-US" w:eastAsia="zh-CN"/>
              </w:rPr>
              <w:t>36</w:t>
            </w:r>
            <w:r>
              <w:rPr>
                <w:rFonts w:hint="eastAsia" w:ascii="宋体" w:hAnsi="宋体" w:cs="宋体"/>
                <w:color w:val="auto"/>
                <w:kern w:val="0"/>
                <w:szCs w:val="21"/>
                <w:highlight w:val="none"/>
              </w:rPr>
              <w:t>个月</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具有交通主管部门颁发的有效安全生产“三类人员”B类证书。年龄不超过55周岁。</w:t>
            </w:r>
          </w:p>
        </w:tc>
        <w:tc>
          <w:tcPr>
            <w:tcW w:w="2148" w:type="dxa"/>
            <w:vMerge w:val="continue"/>
            <w:tcBorders>
              <w:left w:val="single" w:color="auto" w:sz="4" w:space="0"/>
              <w:right w:val="single" w:color="auto" w:sz="12" w:space="0"/>
            </w:tcBorders>
            <w:noWrap w:val="0"/>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378" w:type="dxa"/>
            <w:tcBorders>
              <w:top w:val="single" w:color="auto" w:sz="4" w:space="0"/>
              <w:left w:val="single" w:color="auto" w:sz="12" w:space="0"/>
              <w:right w:val="single" w:color="auto" w:sz="4" w:space="0"/>
            </w:tcBorders>
            <w:noWrap w:val="0"/>
            <w:vAlign w:val="center"/>
          </w:tcPr>
          <w:p>
            <w:pPr>
              <w:rPr>
                <w:rFonts w:hint="default"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p>
        </w:tc>
        <w:tc>
          <w:tcPr>
            <w:tcW w:w="1075" w:type="dxa"/>
            <w:tcBorders>
              <w:top w:val="single" w:color="auto" w:sz="4" w:space="0"/>
              <w:left w:val="single" w:color="auto" w:sz="4" w:space="0"/>
              <w:right w:val="single" w:color="auto" w:sz="4" w:space="0"/>
            </w:tcBorders>
            <w:noWrap w:val="0"/>
            <w:vAlign w:val="center"/>
          </w:tcPr>
          <w:p>
            <w:pPr>
              <w:autoSpaceDE w:val="0"/>
              <w:autoSpaceDN w:val="0"/>
              <w:adjustRightInd w:val="0"/>
              <w:snapToGrid w:val="0"/>
              <w:spacing w:line="460" w:lineRule="exact"/>
              <w:jc w:val="center"/>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项目总工</w:t>
            </w:r>
            <w:r>
              <w:rPr>
                <w:rFonts w:hint="eastAsia" w:ascii="宋体" w:hAnsi="宋体" w:cs="宋体"/>
                <w:color w:val="auto"/>
                <w:kern w:val="0"/>
                <w:szCs w:val="21"/>
                <w:highlight w:val="none"/>
                <w:lang w:eastAsia="zh-CN"/>
              </w:rPr>
              <w:t>备选人</w:t>
            </w:r>
          </w:p>
        </w:tc>
        <w:tc>
          <w:tcPr>
            <w:tcW w:w="458" w:type="dxa"/>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napToGrid w:val="0"/>
              <w:spacing w:line="460" w:lineRule="exact"/>
              <w:jc w:val="center"/>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p>
        </w:tc>
        <w:tc>
          <w:tcPr>
            <w:tcW w:w="5368" w:type="dxa"/>
            <w:vMerge w:val="continue"/>
            <w:tcBorders>
              <w:left w:val="single" w:color="auto" w:sz="4" w:space="0"/>
              <w:right w:val="single" w:color="auto" w:sz="12" w:space="0"/>
            </w:tcBorders>
            <w:noWrap w:val="0"/>
            <w:vAlign w:val="center"/>
          </w:tcPr>
          <w:p>
            <w:pPr>
              <w:autoSpaceDE w:val="0"/>
              <w:autoSpaceDN w:val="0"/>
              <w:adjustRightInd w:val="0"/>
              <w:snapToGrid w:val="0"/>
              <w:spacing w:line="460" w:lineRule="exact"/>
              <w:jc w:val="left"/>
              <w:rPr>
                <w:rFonts w:hint="eastAsia" w:ascii="宋体" w:hAnsi="宋体" w:cs="宋体"/>
                <w:color w:val="auto"/>
                <w:kern w:val="0"/>
                <w:szCs w:val="21"/>
                <w:highlight w:val="none"/>
              </w:rPr>
            </w:pPr>
          </w:p>
        </w:tc>
        <w:tc>
          <w:tcPr>
            <w:tcW w:w="2148" w:type="dxa"/>
            <w:vMerge w:val="continue"/>
            <w:tcBorders>
              <w:left w:val="single" w:color="auto" w:sz="4" w:space="0"/>
              <w:right w:val="single" w:color="auto" w:sz="12" w:space="0"/>
            </w:tcBorders>
            <w:noWrap w:val="0"/>
            <w:vAlign w:val="center"/>
          </w:tcPr>
          <w:p>
            <w:pPr>
              <w:autoSpaceDE w:val="0"/>
              <w:autoSpaceDN w:val="0"/>
              <w:adjustRightInd w:val="0"/>
              <w:snapToGrid w:val="0"/>
              <w:spacing w:line="460" w:lineRule="exact"/>
              <w:jc w:val="center"/>
              <w:rPr>
                <w:rFonts w:ascii="宋体" w:hAnsi="宋体" w:cs="宋体"/>
                <w:color w:val="auto"/>
                <w:kern w:val="0"/>
                <w:szCs w:val="21"/>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ind w:firstLine="300" w:firstLineChars="200"/>
        <w:textAlignment w:val="auto"/>
        <w:rPr>
          <w:rFonts w:hint="eastAsia" w:ascii="宋体" w:hAnsi="宋体" w:eastAsia="Times New Roman" w:cs="宋体"/>
          <w:strike w:val="0"/>
          <w:dstrike w:val="0"/>
          <w:color w:val="auto"/>
          <w:sz w:val="15"/>
          <w:szCs w:val="22"/>
          <w:highlight w:val="none"/>
          <w:lang w:val="en-US" w:eastAsia="en-US" w:bidi="ar-SA"/>
        </w:rPr>
      </w:pPr>
      <w:r>
        <w:rPr>
          <w:rFonts w:hint="eastAsia" w:ascii="宋体" w:hAnsi="宋体" w:eastAsia="Times New Roman" w:cs="宋体"/>
          <w:strike w:val="0"/>
          <w:dstrike w:val="0"/>
          <w:color w:val="auto"/>
          <w:sz w:val="15"/>
          <w:szCs w:val="22"/>
          <w:highlight w:val="none"/>
          <w:lang w:val="en-US" w:eastAsia="en-US" w:bidi="ar-SA"/>
        </w:rPr>
        <w:t>注：</w:t>
      </w:r>
      <w:r>
        <w:rPr>
          <w:rFonts w:hint="eastAsia" w:ascii="宋体" w:hAnsi="宋体" w:eastAsia="Times New Roman" w:cs="宋体"/>
          <w:strike w:val="0"/>
          <w:dstrike w:val="0"/>
          <w:color w:val="auto"/>
          <w:sz w:val="15"/>
          <w:szCs w:val="22"/>
          <w:highlight w:val="none"/>
          <w:lang w:val="en-US" w:eastAsia="zh-CN" w:bidi="ar-SA"/>
        </w:rPr>
        <w:t>1.</w:t>
      </w:r>
      <w:r>
        <w:rPr>
          <w:rFonts w:hint="eastAsia" w:ascii="宋体" w:hAnsi="宋体" w:eastAsia="Times New Roman" w:cs="宋体"/>
          <w:strike w:val="0"/>
          <w:dstrike w:val="0"/>
          <w:color w:val="auto"/>
          <w:sz w:val="15"/>
          <w:szCs w:val="22"/>
          <w:highlight w:val="none"/>
          <w:lang w:val="en-US" w:eastAsia="en-US" w:bidi="ar-SA"/>
        </w:rPr>
        <w:t>上述人员应提供在交通运输部“全国公路建设市场信用信息管理系统”中载明的、能够证明满足各项指标（即包括人员的“基本信息”、“职称信息”、“执业资格”、“个人业绩”等栏目在内）的网页截图复印件或网页打印件。</w:t>
      </w:r>
    </w:p>
    <w:p>
      <w:pPr>
        <w:rPr>
          <w:rFonts w:hint="eastAsia" w:ascii="宋体" w:hAnsi="宋体" w:cs="宋体"/>
          <w:b/>
          <w:color w:val="auto"/>
          <w:szCs w:val="21"/>
          <w:highlight w:val="none"/>
        </w:rPr>
      </w:pPr>
      <w:r>
        <w:rPr>
          <w:rFonts w:hint="eastAsia" w:ascii="宋体" w:hAnsi="宋体" w:cs="宋体"/>
          <w:b/>
          <w:color w:val="auto"/>
          <w:szCs w:val="21"/>
          <w:highlight w:val="none"/>
        </w:rPr>
        <w:br w:type="page"/>
      </w:r>
    </w:p>
    <w:p>
      <w:pPr>
        <w:spacing w:afterLines="50"/>
        <w:jc w:val="center"/>
        <w:rPr>
          <w:rFonts w:hint="eastAsia" w:ascii="宋体" w:hAnsi="宋体" w:cs="宋体"/>
          <w:color w:val="auto"/>
          <w:szCs w:val="21"/>
          <w:highlight w:val="none"/>
        </w:rPr>
      </w:pPr>
      <w:r>
        <w:rPr>
          <w:rFonts w:hint="eastAsia" w:ascii="宋体" w:hAnsi="宋体" w:cs="宋体"/>
          <w:b/>
          <w:color w:val="auto"/>
          <w:szCs w:val="21"/>
          <w:highlight w:val="none"/>
        </w:rPr>
        <w:t>附录</w:t>
      </w:r>
      <w:r>
        <w:rPr>
          <w:rFonts w:hint="eastAsia" w:ascii="宋体" w:hAnsi="宋体" w:cs="宋体"/>
          <w:b/>
          <w:color w:val="auto"/>
          <w:szCs w:val="21"/>
          <w:highlight w:val="none"/>
          <w:lang w:val="en-US" w:eastAsia="zh-CN"/>
        </w:rPr>
        <w:t>6</w:t>
      </w:r>
      <w:r>
        <w:rPr>
          <w:rFonts w:hint="eastAsia" w:ascii="宋体" w:hAnsi="宋体" w:cs="宋体"/>
          <w:b/>
          <w:color w:val="auto"/>
          <w:szCs w:val="21"/>
          <w:highlight w:val="none"/>
        </w:rPr>
        <w:t xml:space="preserve">  资格审查条件</w:t>
      </w:r>
      <w:r>
        <w:rPr>
          <w:rFonts w:hint="eastAsia" w:ascii="宋体" w:hAnsi="宋体" w:cs="宋体"/>
          <w:color w:val="auto"/>
          <w:szCs w:val="21"/>
          <w:highlight w:val="none"/>
        </w:rPr>
        <w:t>（项目管理机构及人员）</w:t>
      </w:r>
    </w:p>
    <w:p>
      <w:pPr>
        <w:rPr>
          <w:rFonts w:hint="eastAsia" w:ascii="宋体" w:hAnsi="宋体" w:cs="宋体"/>
          <w:color w:val="auto"/>
          <w:szCs w:val="21"/>
          <w:highlight w:val="none"/>
        </w:rPr>
      </w:pPr>
    </w:p>
    <w:tbl>
      <w:tblPr>
        <w:tblStyle w:val="7"/>
        <w:tblW w:w="842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87"/>
        <w:gridCol w:w="985"/>
        <w:gridCol w:w="565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787" w:type="dxa"/>
            <w:tcBorders>
              <w:top w:val="single" w:color="auto" w:sz="12" w:space="0"/>
              <w:left w:val="single" w:color="auto" w:sz="12"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人  员</w:t>
            </w:r>
          </w:p>
        </w:tc>
        <w:tc>
          <w:tcPr>
            <w:tcW w:w="985"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数  量</w:t>
            </w:r>
          </w:p>
        </w:tc>
        <w:tc>
          <w:tcPr>
            <w:tcW w:w="5657" w:type="dxa"/>
            <w:tcBorders>
              <w:top w:val="single" w:color="auto" w:sz="12" w:space="0"/>
              <w:left w:val="single" w:color="auto" w:sz="4" w:space="0"/>
              <w:bottom w:val="single" w:color="auto" w:sz="4" w:space="0"/>
              <w:right w:val="single" w:color="auto" w:sz="12"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 格 要 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787" w:type="dxa"/>
            <w:tcBorders>
              <w:top w:val="single" w:color="auto" w:sz="4" w:space="0"/>
              <w:left w:val="single" w:color="auto" w:sz="12"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质检工程师</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noWrap w:val="0"/>
            <w:vAlign w:val="center"/>
          </w:tcPr>
          <w:p>
            <w:pPr>
              <w:keepNext w:val="0"/>
              <w:keepLines w:val="0"/>
              <w:widowControl/>
              <w:suppressLineNumbers w:val="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路桥</w:t>
            </w:r>
            <w:r>
              <w:rPr>
                <w:rFonts w:hint="eastAsia" w:ascii="宋体" w:hAnsi="宋体" w:cs="宋体"/>
                <w:color w:val="auto"/>
                <w:szCs w:val="21"/>
                <w:highlight w:val="none"/>
                <w:lang w:eastAsia="zh-CN"/>
              </w:rPr>
              <w:t>相关</w:t>
            </w:r>
            <w:r>
              <w:rPr>
                <w:rFonts w:hint="eastAsia" w:ascii="宋体" w:hAnsi="宋体" w:cs="宋体"/>
                <w:color w:val="auto"/>
                <w:szCs w:val="21"/>
                <w:highlight w:val="none"/>
              </w:rPr>
              <w:t>专业工程师</w:t>
            </w:r>
            <w:r>
              <w:rPr>
                <w:rFonts w:hint="eastAsia" w:ascii="宋体" w:hAnsi="宋体" w:cs="宋体"/>
                <w:color w:val="auto"/>
                <w:szCs w:val="21"/>
                <w:highlight w:val="none"/>
                <w:lang w:eastAsia="zh-CN"/>
              </w:rPr>
              <w:t>，</w:t>
            </w:r>
            <w:r>
              <w:rPr>
                <w:rFonts w:hint="eastAsia" w:ascii="宋体" w:hAnsi="宋体" w:eastAsia="宋体" w:cs="宋体"/>
                <w:color w:val="auto"/>
                <w:kern w:val="0"/>
                <w:sz w:val="21"/>
                <w:szCs w:val="21"/>
                <w:highlight w:val="none"/>
                <w:lang w:val="en-US" w:eastAsia="zh-CN" w:bidi="ar"/>
              </w:rPr>
              <w:t>累计 3 年从事施工经验。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1787" w:type="dxa"/>
            <w:tcBorders>
              <w:top w:val="single" w:color="auto" w:sz="4" w:space="0"/>
              <w:left w:val="single" w:color="auto" w:sz="12"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 xml:space="preserve">桥梁工程师 </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lang w:val="en-US" w:eastAsia="zh-CN"/>
              </w:rPr>
              <w:t>1</w:t>
            </w:r>
          </w:p>
        </w:tc>
        <w:tc>
          <w:tcPr>
            <w:tcW w:w="5657" w:type="dxa"/>
            <w:tcBorders>
              <w:top w:val="single" w:color="auto" w:sz="4" w:space="0"/>
              <w:left w:val="single" w:color="auto" w:sz="4" w:space="0"/>
              <w:right w:val="single" w:color="auto" w:sz="12" w:space="0"/>
            </w:tcBorders>
            <w:noWrap w:val="0"/>
            <w:vAlign w:val="center"/>
          </w:tcPr>
          <w:p>
            <w:pPr>
              <w:jc w:val="both"/>
              <w:rPr>
                <w:rFonts w:hint="eastAsia" w:ascii="宋体" w:hAnsi="宋体" w:cs="宋体"/>
                <w:color w:val="auto"/>
                <w:szCs w:val="21"/>
                <w:highlight w:val="none"/>
              </w:rPr>
            </w:pPr>
            <w:r>
              <w:rPr>
                <w:rFonts w:hint="eastAsia" w:ascii="宋体" w:hAnsi="宋体" w:cs="宋体"/>
                <w:color w:val="auto"/>
                <w:szCs w:val="21"/>
                <w:highlight w:val="none"/>
                <w:lang w:val="en-US" w:eastAsia="zh-CN"/>
              </w:rPr>
              <w:t>路桥相关专业工程师，累计 3 年从事施工经验。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787" w:type="dxa"/>
            <w:tcBorders>
              <w:top w:val="single" w:color="auto" w:sz="4" w:space="0"/>
              <w:left w:val="single" w:color="auto" w:sz="12" w:space="0"/>
              <w:right w:val="single" w:color="auto" w:sz="4" w:space="0"/>
            </w:tcBorders>
            <w:noWrap w:val="0"/>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道路工程师</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5657" w:type="dxa"/>
            <w:tcBorders>
              <w:top w:val="single" w:color="auto" w:sz="4" w:space="0"/>
              <w:left w:val="single" w:color="auto" w:sz="4" w:space="0"/>
              <w:right w:val="single" w:color="auto" w:sz="12" w:space="0"/>
            </w:tcBorders>
            <w:noWrap w:val="0"/>
            <w:vAlign w:val="center"/>
          </w:tcPr>
          <w:p>
            <w:pPr>
              <w:keepNext w:val="0"/>
              <w:keepLines w:val="0"/>
              <w:widowControl/>
              <w:suppressLineNumbers w:val="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路桥</w:t>
            </w:r>
            <w:r>
              <w:rPr>
                <w:rFonts w:hint="eastAsia" w:ascii="宋体" w:hAnsi="宋体" w:cs="宋体"/>
                <w:color w:val="auto"/>
                <w:szCs w:val="21"/>
                <w:highlight w:val="none"/>
                <w:lang w:eastAsia="zh-CN"/>
              </w:rPr>
              <w:t>相关</w:t>
            </w:r>
            <w:r>
              <w:rPr>
                <w:rFonts w:hint="eastAsia" w:ascii="宋体" w:hAnsi="宋体" w:cs="宋体"/>
                <w:color w:val="auto"/>
                <w:szCs w:val="21"/>
                <w:highlight w:val="none"/>
              </w:rPr>
              <w:t>专业工程师</w:t>
            </w:r>
            <w:r>
              <w:rPr>
                <w:rFonts w:hint="eastAsia" w:ascii="宋体" w:hAnsi="宋体" w:cs="宋体"/>
                <w:color w:val="auto"/>
                <w:szCs w:val="21"/>
                <w:highlight w:val="none"/>
                <w:lang w:eastAsia="zh-CN"/>
              </w:rPr>
              <w:t>，</w:t>
            </w:r>
            <w:r>
              <w:rPr>
                <w:rFonts w:hint="eastAsia" w:ascii="宋体" w:hAnsi="宋体" w:eastAsia="宋体" w:cs="宋体"/>
                <w:color w:val="auto"/>
                <w:kern w:val="0"/>
                <w:sz w:val="21"/>
                <w:szCs w:val="21"/>
                <w:highlight w:val="none"/>
                <w:lang w:val="en-US" w:eastAsia="zh-CN" w:bidi="ar"/>
              </w:rPr>
              <w:t>累计 3 年从事工作经验。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787" w:type="dxa"/>
            <w:tcBorders>
              <w:top w:val="single" w:color="auto" w:sz="4" w:space="0"/>
              <w:left w:val="single" w:color="auto" w:sz="12"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计划工程师</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noWrap w:val="0"/>
            <w:vAlign w:val="center"/>
          </w:tcPr>
          <w:p>
            <w:pPr>
              <w:keepNext w:val="0"/>
              <w:keepLines w:val="0"/>
              <w:widowControl/>
              <w:suppressLineNumbers w:val="0"/>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路桥</w:t>
            </w:r>
            <w:r>
              <w:rPr>
                <w:rFonts w:hint="eastAsia" w:ascii="宋体" w:hAnsi="宋体" w:cs="宋体"/>
                <w:color w:val="auto"/>
                <w:szCs w:val="21"/>
                <w:highlight w:val="none"/>
                <w:lang w:eastAsia="zh-CN"/>
              </w:rPr>
              <w:t>相关</w:t>
            </w:r>
            <w:r>
              <w:rPr>
                <w:rFonts w:hint="eastAsia" w:ascii="宋体" w:hAnsi="宋体" w:cs="宋体"/>
                <w:color w:val="auto"/>
                <w:szCs w:val="21"/>
                <w:highlight w:val="none"/>
              </w:rPr>
              <w:t>专业工程师</w:t>
            </w:r>
            <w:r>
              <w:rPr>
                <w:rFonts w:hint="eastAsia" w:ascii="宋体" w:hAnsi="宋体" w:cs="宋体"/>
                <w:color w:val="auto"/>
                <w:szCs w:val="21"/>
                <w:highlight w:val="none"/>
                <w:lang w:eastAsia="zh-CN"/>
              </w:rPr>
              <w:t>，</w:t>
            </w:r>
            <w:r>
              <w:rPr>
                <w:rFonts w:hint="eastAsia" w:ascii="宋体" w:hAnsi="宋体" w:eastAsia="宋体" w:cs="宋体"/>
                <w:color w:val="auto"/>
                <w:kern w:val="0"/>
                <w:sz w:val="21"/>
                <w:szCs w:val="21"/>
                <w:highlight w:val="none"/>
                <w:lang w:val="en-US" w:eastAsia="zh-CN" w:bidi="ar"/>
              </w:rPr>
              <w:t>累计 3 年从事工作经验。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87" w:type="dxa"/>
            <w:tcBorders>
              <w:top w:val="single" w:color="auto" w:sz="4" w:space="0"/>
              <w:left w:val="single" w:color="auto" w:sz="12"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交通安全设施</w:t>
            </w:r>
          </w:p>
          <w:p>
            <w:pPr>
              <w:jc w:val="center"/>
              <w:rPr>
                <w:rFonts w:ascii="宋体" w:hAnsi="宋体" w:cs="宋体"/>
                <w:color w:val="auto"/>
                <w:szCs w:val="21"/>
                <w:highlight w:val="none"/>
              </w:rPr>
            </w:pPr>
            <w:r>
              <w:rPr>
                <w:rFonts w:hint="eastAsia" w:ascii="宋体" w:hAnsi="宋体" w:cs="宋体"/>
                <w:color w:val="auto"/>
                <w:szCs w:val="21"/>
                <w:highlight w:val="none"/>
              </w:rPr>
              <w:t>分项负责人</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1</w:t>
            </w:r>
          </w:p>
        </w:tc>
        <w:tc>
          <w:tcPr>
            <w:tcW w:w="5657" w:type="dxa"/>
            <w:tcBorders>
              <w:top w:val="single" w:color="auto" w:sz="4" w:space="0"/>
              <w:left w:val="single" w:color="auto" w:sz="4" w:space="0"/>
              <w:right w:val="single" w:color="auto" w:sz="12" w:space="0"/>
            </w:tcBorders>
            <w:noWrap w:val="0"/>
            <w:vAlign w:val="center"/>
          </w:tcPr>
          <w:p>
            <w:pPr>
              <w:jc w:val="both"/>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路桥</w:t>
            </w:r>
            <w:r>
              <w:rPr>
                <w:rFonts w:hint="eastAsia" w:ascii="宋体" w:hAnsi="宋体" w:cs="宋体"/>
                <w:color w:val="auto"/>
                <w:szCs w:val="21"/>
                <w:highlight w:val="none"/>
                <w:lang w:eastAsia="zh-CN"/>
              </w:rPr>
              <w:t>相关</w:t>
            </w:r>
            <w:r>
              <w:rPr>
                <w:rFonts w:hint="eastAsia" w:ascii="宋体" w:hAnsi="宋体" w:cs="宋体"/>
                <w:color w:val="auto"/>
                <w:szCs w:val="21"/>
                <w:highlight w:val="none"/>
              </w:rPr>
              <w:t>专业工程师</w:t>
            </w:r>
            <w:r>
              <w:rPr>
                <w:rFonts w:hint="eastAsia" w:ascii="宋体" w:hAnsi="宋体" w:cs="宋体"/>
                <w:color w:val="auto"/>
                <w:szCs w:val="21"/>
                <w:highlight w:val="none"/>
                <w:lang w:eastAsia="zh-CN"/>
              </w:rPr>
              <w:t>，</w:t>
            </w:r>
            <w:r>
              <w:rPr>
                <w:rFonts w:hint="eastAsia" w:ascii="宋体" w:hAnsi="宋体" w:eastAsia="宋体" w:cs="宋体"/>
                <w:color w:val="auto"/>
                <w:kern w:val="0"/>
                <w:sz w:val="21"/>
                <w:szCs w:val="21"/>
                <w:highlight w:val="none"/>
                <w:lang w:val="en-US" w:eastAsia="zh-CN" w:bidi="ar"/>
              </w:rPr>
              <w:t>累计 3 年从事工作经验。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787" w:type="dxa"/>
            <w:tcBorders>
              <w:top w:val="single" w:color="auto" w:sz="4" w:space="0"/>
              <w:left w:val="single" w:color="auto" w:sz="12"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测量工程师</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noWrap w:val="0"/>
            <w:vAlign w:val="center"/>
          </w:tcPr>
          <w:p>
            <w:pPr>
              <w:jc w:val="both"/>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路桥</w:t>
            </w:r>
            <w:r>
              <w:rPr>
                <w:rFonts w:hint="eastAsia" w:ascii="宋体" w:hAnsi="宋体" w:cs="宋体"/>
                <w:color w:val="auto"/>
                <w:szCs w:val="21"/>
                <w:highlight w:val="none"/>
                <w:lang w:eastAsia="zh-CN"/>
              </w:rPr>
              <w:t>相关</w:t>
            </w:r>
            <w:r>
              <w:rPr>
                <w:rFonts w:hint="eastAsia" w:ascii="宋体" w:hAnsi="宋体" w:cs="宋体"/>
                <w:color w:val="auto"/>
                <w:szCs w:val="21"/>
                <w:highlight w:val="none"/>
              </w:rPr>
              <w:t>专业工程师</w:t>
            </w:r>
            <w:r>
              <w:rPr>
                <w:rFonts w:hint="eastAsia" w:ascii="宋体" w:hAnsi="宋体" w:cs="宋体"/>
                <w:color w:val="auto"/>
                <w:szCs w:val="21"/>
                <w:highlight w:val="none"/>
                <w:lang w:eastAsia="zh-CN"/>
              </w:rPr>
              <w:t>，</w:t>
            </w:r>
            <w:r>
              <w:rPr>
                <w:rFonts w:hint="eastAsia" w:ascii="宋体" w:hAnsi="宋体" w:eastAsia="宋体" w:cs="宋体"/>
                <w:color w:val="auto"/>
                <w:kern w:val="0"/>
                <w:sz w:val="21"/>
                <w:szCs w:val="21"/>
                <w:highlight w:val="none"/>
                <w:lang w:val="en-US" w:eastAsia="zh-CN" w:bidi="ar"/>
              </w:rPr>
              <w:t>累计 3 年从事工作经验。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7" w:hRule="atLeast"/>
        </w:trPr>
        <w:tc>
          <w:tcPr>
            <w:tcW w:w="1787" w:type="dxa"/>
            <w:tcBorders>
              <w:top w:val="single" w:color="auto" w:sz="4" w:space="0"/>
              <w:left w:val="single" w:color="auto" w:sz="12"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lang w:eastAsia="zh-CN"/>
              </w:rPr>
              <w:t>财务负责人</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right w:val="single" w:color="auto" w:sz="12" w:space="0"/>
            </w:tcBorders>
            <w:noWrap w:val="0"/>
            <w:vAlign w:val="center"/>
          </w:tcPr>
          <w:p>
            <w:pPr>
              <w:jc w:val="left"/>
              <w:rPr>
                <w:rFonts w:hint="eastAsia" w:ascii="宋体" w:hAnsi="宋体" w:cs="宋体"/>
                <w:color w:val="auto"/>
                <w:szCs w:val="21"/>
                <w:highlight w:val="none"/>
              </w:rPr>
            </w:pPr>
            <w:r>
              <w:rPr>
                <w:rFonts w:ascii="宋体" w:hAnsi="宋体" w:eastAsia="Times New Roman" w:cs="宋体"/>
                <w:color w:val="auto"/>
                <w:sz w:val="21"/>
                <w:szCs w:val="22"/>
                <w:highlight w:val="none"/>
                <w:lang w:val="en-US" w:eastAsia="en-US" w:bidi="ar-SA"/>
              </w:rPr>
              <w:t>会计师，累计</w:t>
            </w:r>
            <w:r>
              <w:rPr>
                <w:rFonts w:hAnsi="Times New Roman" w:eastAsia="Times New Roman" w:cs="Times New Roman"/>
                <w:color w:val="auto"/>
                <w:sz w:val="21"/>
                <w:szCs w:val="22"/>
                <w:highlight w:val="none"/>
                <w:lang w:val="en-US" w:eastAsia="en-US" w:bidi="ar-SA"/>
              </w:rPr>
              <w:t xml:space="preserve"> </w:t>
            </w:r>
            <w:r>
              <w:rPr>
                <w:rFonts w:ascii="宋体" w:hAnsi="Times New Roman" w:eastAsia="Times New Roman" w:cs="Times New Roman"/>
                <w:color w:val="auto"/>
                <w:sz w:val="21"/>
                <w:szCs w:val="22"/>
                <w:highlight w:val="none"/>
                <w:lang w:val="en-US" w:eastAsia="en-US" w:bidi="ar-SA"/>
              </w:rPr>
              <w:t>3</w:t>
            </w:r>
            <w:r>
              <w:rPr>
                <w:rFonts w:hAnsi="Times New Roman" w:eastAsia="Times New Roman" w:cs="Times New Roman"/>
                <w:color w:val="auto"/>
                <w:sz w:val="21"/>
                <w:szCs w:val="22"/>
                <w:highlight w:val="none"/>
                <w:lang w:val="en-US" w:eastAsia="en-US" w:bidi="ar-SA"/>
              </w:rPr>
              <w:t xml:space="preserve"> </w:t>
            </w:r>
            <w:r>
              <w:rPr>
                <w:rFonts w:ascii="宋体" w:hAnsi="宋体" w:eastAsia="Times New Roman" w:cs="宋体"/>
                <w:color w:val="auto"/>
                <w:sz w:val="21"/>
                <w:szCs w:val="22"/>
                <w:highlight w:val="none"/>
                <w:lang w:val="en-US" w:eastAsia="en-US" w:bidi="ar-SA"/>
              </w:rPr>
              <w:t>年从事</w:t>
            </w:r>
            <w:r>
              <w:rPr>
                <w:rFonts w:hint="eastAsia" w:ascii="宋体" w:hAnsi="宋体" w:eastAsia="宋体" w:cs="宋体"/>
                <w:color w:val="auto"/>
                <w:sz w:val="21"/>
                <w:szCs w:val="22"/>
                <w:highlight w:val="none"/>
                <w:lang w:val="en-US" w:eastAsia="zh-CN" w:bidi="ar-SA"/>
              </w:rPr>
              <w:t>施工</w:t>
            </w:r>
            <w:r>
              <w:rPr>
                <w:rFonts w:ascii="宋体" w:hAnsi="宋体" w:eastAsia="Times New Roman" w:cs="宋体"/>
                <w:color w:val="auto"/>
                <w:sz w:val="21"/>
                <w:szCs w:val="22"/>
                <w:highlight w:val="none"/>
                <w:lang w:val="en-US" w:eastAsia="en-US" w:bidi="ar-SA"/>
              </w:rPr>
              <w:t>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787" w:type="dxa"/>
            <w:tcBorders>
              <w:top w:val="single" w:color="auto" w:sz="4" w:space="0"/>
              <w:left w:val="single" w:color="auto" w:sz="12"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专职安全生产管理人员</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1</w:t>
            </w:r>
          </w:p>
        </w:tc>
        <w:tc>
          <w:tcPr>
            <w:tcW w:w="5657" w:type="dxa"/>
            <w:tcBorders>
              <w:top w:val="single" w:color="auto" w:sz="4" w:space="0"/>
              <w:left w:val="single" w:color="auto" w:sz="4" w:space="0"/>
              <w:bottom w:val="single" w:color="auto" w:sz="4" w:space="0"/>
              <w:right w:val="single" w:color="auto" w:sz="12" w:space="0"/>
            </w:tcBorders>
            <w:noWrap w:val="0"/>
            <w:vAlign w:val="center"/>
          </w:tcPr>
          <w:p>
            <w:pPr>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具有交通主管部门颁发的安全生产“三类人员”C类证书</w:t>
            </w:r>
            <w:r>
              <w:rPr>
                <w:rFonts w:hint="eastAsia" w:ascii="宋体" w:hAnsi="宋体" w:cs="宋体"/>
                <w:color w:val="auto"/>
                <w:szCs w:val="21"/>
                <w:highlight w:val="none"/>
                <w:lang w:eastAsia="zh-CN"/>
              </w:rPr>
              <w:t>，累计 3 年从事施工经验。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787" w:type="dxa"/>
            <w:tcBorders>
              <w:top w:val="single" w:color="auto" w:sz="4" w:space="0"/>
              <w:left w:val="single" w:color="auto" w:sz="12"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资料员</w:t>
            </w:r>
          </w:p>
        </w:tc>
        <w:tc>
          <w:tcPr>
            <w:tcW w:w="9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s="宋体"/>
                <w:color w:val="auto"/>
                <w:szCs w:val="21"/>
                <w:highlight w:val="none"/>
              </w:rPr>
              <w:t>1</w:t>
            </w:r>
          </w:p>
        </w:tc>
        <w:tc>
          <w:tcPr>
            <w:tcW w:w="5657" w:type="dxa"/>
            <w:tcBorders>
              <w:top w:val="single" w:color="auto" w:sz="4" w:space="0"/>
              <w:left w:val="single" w:color="auto" w:sz="4" w:space="0"/>
              <w:bottom w:val="single" w:color="auto" w:sz="4" w:space="0"/>
              <w:right w:val="single" w:color="auto" w:sz="12" w:space="0"/>
            </w:tcBorders>
            <w:noWrap w:val="0"/>
            <w:vAlign w:val="center"/>
          </w:tcPr>
          <w:p>
            <w:pPr>
              <w:jc w:val="both"/>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资料员</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累计 3 年从事施工经验。</w:t>
            </w:r>
          </w:p>
        </w:tc>
      </w:tr>
    </w:tbl>
    <w:p>
      <w:pPr>
        <w:keepNext w:val="0"/>
        <w:keepLines w:val="0"/>
        <w:pageBreakBefore w:val="0"/>
        <w:widowControl w:val="0"/>
        <w:kinsoku/>
        <w:wordWrap/>
        <w:overflowPunct/>
        <w:topLinePunct w:val="0"/>
        <w:autoSpaceDE/>
        <w:autoSpaceDN/>
        <w:bidi w:val="0"/>
        <w:adjustRightInd/>
        <w:snapToGrid/>
        <w:spacing w:line="360" w:lineRule="auto"/>
        <w:ind w:firstLine="300" w:firstLineChars="200"/>
        <w:textAlignment w:val="auto"/>
        <w:rPr>
          <w:rFonts w:hint="eastAsia" w:ascii="宋体" w:hAnsi="宋体" w:eastAsia="Times New Roman" w:cs="宋体"/>
          <w:color w:val="auto"/>
          <w:sz w:val="15"/>
          <w:szCs w:val="22"/>
          <w:highlight w:val="none"/>
          <w:lang w:val="en-US" w:eastAsia="zh-CN" w:bidi="ar-SA"/>
        </w:rPr>
      </w:pPr>
      <w:r>
        <w:rPr>
          <w:rFonts w:hint="eastAsia" w:ascii="宋体" w:hAnsi="宋体" w:eastAsia="Times New Roman" w:cs="宋体"/>
          <w:color w:val="auto"/>
          <w:sz w:val="15"/>
          <w:szCs w:val="22"/>
          <w:highlight w:val="none"/>
          <w:lang w:val="en-US" w:eastAsia="en-US" w:bidi="ar-SA"/>
        </w:rPr>
        <w:t>注：</w:t>
      </w:r>
      <w:r>
        <w:rPr>
          <w:rFonts w:hint="eastAsia" w:ascii="宋体" w:hAnsi="宋体" w:eastAsia="Times New Roman" w:cs="宋体"/>
          <w:color w:val="auto"/>
          <w:sz w:val="15"/>
          <w:szCs w:val="22"/>
          <w:highlight w:val="none"/>
          <w:lang w:val="en-US" w:eastAsia="zh-CN" w:bidi="ar-SA"/>
        </w:rPr>
        <w:t>1、</w:t>
      </w:r>
      <w:r>
        <w:rPr>
          <w:rFonts w:hint="eastAsia" w:ascii="宋体" w:hAnsi="宋体" w:eastAsia="Times New Roman" w:cs="宋体"/>
          <w:color w:val="auto"/>
          <w:sz w:val="15"/>
          <w:szCs w:val="22"/>
          <w:highlight w:val="none"/>
          <w:lang w:val="en-US" w:eastAsia="en-US" w:bidi="ar-SA"/>
        </w:rPr>
        <w:t>上述人员应提供交通运输部“全国公路建设市场信用信息管理系统”中载明的、能够证明满足各项指标（即包括人员的“基本信息”、“职称信息”、“执业资格”等栏目在内）的网页截图复印件或网页打印件</w:t>
      </w:r>
      <w:r>
        <w:rPr>
          <w:rFonts w:hint="eastAsia" w:ascii="宋体" w:hAnsi="宋体" w:eastAsia="Times New Roman" w:cs="宋体"/>
          <w:color w:val="auto"/>
          <w:sz w:val="15"/>
          <w:szCs w:val="2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360" w:lineRule="auto"/>
        <w:ind w:firstLine="300" w:firstLineChars="200"/>
        <w:textAlignment w:val="auto"/>
        <w:rPr>
          <w:rFonts w:hint="eastAsia" w:ascii="宋体" w:hAnsi="宋体" w:eastAsia="Times New Roman" w:cs="宋体"/>
          <w:color w:val="auto"/>
          <w:sz w:val="15"/>
          <w:szCs w:val="22"/>
          <w:highlight w:val="none"/>
          <w:lang w:val="en-US" w:eastAsia="en-US" w:bidi="ar-SA"/>
        </w:rPr>
      </w:pPr>
      <w:r>
        <w:rPr>
          <w:rFonts w:hint="eastAsia" w:ascii="宋体" w:hAnsi="宋体" w:eastAsia="Times New Roman" w:cs="宋体"/>
          <w:color w:val="auto"/>
          <w:sz w:val="15"/>
          <w:szCs w:val="22"/>
          <w:highlight w:val="none"/>
          <w:lang w:val="en-US" w:eastAsia="zh-CN" w:bidi="ar-SA"/>
        </w:rPr>
        <w:t>2</w:t>
      </w:r>
      <w:r>
        <w:rPr>
          <w:rFonts w:hint="eastAsia" w:ascii="宋体" w:hAnsi="宋体" w:eastAsia="Times New Roman" w:cs="宋体"/>
          <w:color w:val="auto"/>
          <w:sz w:val="15"/>
          <w:szCs w:val="22"/>
          <w:highlight w:val="none"/>
          <w:lang w:val="en-US" w:eastAsia="en-US" w:bidi="ar-SA"/>
        </w:rPr>
        <w:t>、路桥工程相关专业职称包括公路工程、桥梁工程、道桥工程、市政路桥施工、公路与桥梁工程、交通土建、隧道（地下结构）工程、交通工程等专业职称；</w:t>
      </w:r>
    </w:p>
    <w:p>
      <w:pPr>
        <w:rPr>
          <w:rFonts w:hint="eastAsia" w:ascii="宋体" w:hAnsi="宋体" w:eastAsia="Times New Roman" w:cs="宋体"/>
          <w:color w:val="auto"/>
          <w:sz w:val="15"/>
          <w:szCs w:val="22"/>
          <w:highlight w:val="none"/>
          <w:lang w:val="en-US" w:eastAsia="zh-CN" w:bidi="ar-SA"/>
        </w:rPr>
      </w:pPr>
      <w:r>
        <w:rPr>
          <w:rFonts w:hint="eastAsia" w:ascii="宋体" w:hAnsi="宋体" w:eastAsia="Times New Roman" w:cs="宋体"/>
          <w:color w:val="auto"/>
          <w:sz w:val="15"/>
          <w:szCs w:val="22"/>
          <w:highlight w:val="none"/>
          <w:lang w:val="en-US" w:eastAsia="zh-CN" w:bidi="ar-SA"/>
        </w:rPr>
        <w:t>3</w:t>
      </w:r>
      <w:r>
        <w:rPr>
          <w:rFonts w:hint="eastAsia" w:ascii="宋体" w:hAnsi="宋体" w:eastAsia="Times New Roman" w:cs="宋体"/>
          <w:color w:val="auto"/>
          <w:sz w:val="15"/>
          <w:szCs w:val="22"/>
          <w:highlight w:val="none"/>
          <w:lang w:val="en-US" w:eastAsia="en-US" w:bidi="ar-SA"/>
        </w:rPr>
        <w:t>、</w:t>
      </w:r>
      <w:r>
        <w:rPr>
          <w:rFonts w:hint="eastAsia" w:ascii="宋体" w:hAnsi="宋体" w:eastAsia="Times New Roman" w:cs="宋体"/>
          <w:color w:val="auto"/>
          <w:sz w:val="15"/>
          <w:szCs w:val="22"/>
          <w:highlight w:val="none"/>
          <w:lang w:val="en-US" w:eastAsia="zh-CN" w:bidi="ar-SA"/>
        </w:rPr>
        <w:t>投标文件中附录 6 人员需提供人员相关证件，投标人所属社保机构出具的社保缴费证明 或其他能够证明其参加社保的有效证明材料复印件（社保时段为投标文件递交截止日前半年时间内连续不少于三个月）。</w:t>
      </w:r>
    </w:p>
    <w:p>
      <w:pPr>
        <w:rPr>
          <w:rFonts w:hint="eastAsia" w:ascii="宋体" w:hAnsi="宋体" w:eastAsia="Times New Roman" w:cs="宋体"/>
          <w:color w:val="auto"/>
          <w:sz w:val="15"/>
          <w:szCs w:val="22"/>
          <w:highlight w:val="none"/>
          <w:lang w:val="en-US" w:eastAsia="zh-CN" w:bidi="ar-SA"/>
        </w:rPr>
      </w:pPr>
      <w:r>
        <w:rPr>
          <w:rFonts w:hint="eastAsia" w:ascii="宋体" w:hAnsi="宋体" w:eastAsia="Times New Roman" w:cs="宋体"/>
          <w:color w:val="auto"/>
          <w:sz w:val="15"/>
          <w:szCs w:val="22"/>
          <w:highlight w:val="none"/>
          <w:lang w:val="en-US" w:eastAsia="zh-CN" w:bidi="ar-SA"/>
        </w:rPr>
        <w:br w:type="page"/>
      </w:r>
    </w:p>
    <w:p>
      <w:pPr>
        <w:pStyle w:val="9"/>
        <w:spacing w:before="518" w:after="0" w:line="430" w:lineRule="exact"/>
        <w:jc w:val="left"/>
        <w:rPr>
          <w:rFonts w:ascii="宋体" w:hAnsi="宋体" w:eastAsia="宋体" w:cs="宋体"/>
          <w:color w:val="auto"/>
          <w:sz w:val="42"/>
          <w:highlight w:val="none"/>
          <w:lang w:eastAsia="zh-CN"/>
        </w:rPr>
      </w:pPr>
      <w:r>
        <w:rPr>
          <w:rFonts w:hint="eastAsia" w:ascii="宋体" w:hAnsi="宋体" w:eastAsia="宋体" w:cs="宋体"/>
          <w:color w:val="auto"/>
          <w:sz w:val="42"/>
          <w:highlight w:val="none"/>
          <w:lang w:eastAsia="zh-CN"/>
        </w:rPr>
        <w:t>评标办法</w:t>
      </w:r>
      <w:r>
        <w:rPr>
          <w:rFonts w:hint="eastAsia" w:ascii="宋体" w:hAnsi="宋体" w:eastAsia="宋体" w:cs="宋体"/>
          <w:color w:val="auto"/>
          <w:sz w:val="42"/>
          <w:szCs w:val="42"/>
          <w:highlight w:val="none"/>
          <w:lang w:eastAsia="zh-CN"/>
        </w:rPr>
        <w:t>（双信封的技术评分最低标价法）</w:t>
      </w:r>
    </w:p>
    <w:p>
      <w:pPr>
        <w:pStyle w:val="9"/>
        <w:spacing w:before="0" w:after="0" w:line="221" w:lineRule="exact"/>
        <w:ind w:left="7382"/>
        <w:jc w:val="left"/>
        <w:rPr>
          <w:rFonts w:ascii="宋体" w:hAnsi="宋体" w:eastAsia="宋体" w:cs="宋体"/>
          <w:color w:val="auto"/>
          <w:sz w:val="21"/>
          <w:highlight w:val="none"/>
          <w:lang w:eastAsia="zh-CN"/>
        </w:rPr>
      </w:pPr>
    </w:p>
    <w:tbl>
      <w:tblPr>
        <w:tblStyle w:val="7"/>
        <w:tblW w:w="9072"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757"/>
        <w:gridCol w:w="1264"/>
        <w:gridCol w:w="705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32" w:hRule="exact"/>
          <w:jc w:val="center"/>
        </w:trPr>
        <w:tc>
          <w:tcPr>
            <w:tcW w:w="2021" w:type="dxa"/>
            <w:gridSpan w:val="2"/>
            <w:noWrap w:val="0"/>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7051" w:type="dxa"/>
            <w:noWrap w:val="0"/>
            <w:vAlign w:val="center"/>
          </w:tcPr>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评审因素与标准</w:t>
            </w:r>
          </w:p>
          <w:p>
            <w:pPr>
              <w:spacing w:line="360" w:lineRule="auto"/>
              <w:jc w:val="center"/>
              <w:rPr>
                <w:rFonts w:ascii="宋体" w:hAnsi="宋体" w:cs="宋体"/>
                <w:b/>
                <w:color w:val="auto"/>
                <w:szCs w:val="21"/>
                <w:highlight w:val="none"/>
              </w:rPr>
            </w:pPr>
            <w:r>
              <w:rPr>
                <w:rFonts w:hint="eastAsia" w:ascii="宋体" w:hAnsi="宋体" w:cs="宋体"/>
                <w:b/>
                <w:color w:val="auto"/>
                <w:szCs w:val="21"/>
                <w:highlight w:val="none"/>
              </w:rPr>
              <w:t>评审标准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984" w:hRule="exact"/>
          <w:jc w:val="center"/>
        </w:trPr>
        <w:tc>
          <w:tcPr>
            <w:tcW w:w="757" w:type="dxa"/>
            <w:tcBorders>
              <w:right w:val="single" w:color="auto" w:sz="4" w:space="0"/>
            </w:tcBorders>
            <w:noWrap w:val="0"/>
            <w:vAlign w:val="center"/>
          </w:tcPr>
          <w:p>
            <w:pPr>
              <w:spacing w:line="360" w:lineRule="auto"/>
              <w:jc w:val="center"/>
              <w:rPr>
                <w:rFonts w:ascii="宋体" w:hAnsi="宋体" w:cs="宋体"/>
                <w:b/>
                <w:color w:val="auto"/>
                <w:szCs w:val="21"/>
                <w:highlight w:val="none"/>
              </w:rPr>
            </w:pPr>
            <w:r>
              <w:rPr>
                <w:rFonts w:hint="eastAsia" w:ascii="宋体" w:hAnsi="宋体" w:cs="宋体"/>
                <w:bCs/>
                <w:color w:val="auto"/>
                <w:szCs w:val="21"/>
                <w:highlight w:val="none"/>
              </w:rPr>
              <w:t>1</w:t>
            </w:r>
          </w:p>
        </w:tc>
        <w:tc>
          <w:tcPr>
            <w:tcW w:w="1264" w:type="dxa"/>
            <w:tcBorders>
              <w:left w:val="single" w:color="auto" w:sz="4" w:space="0"/>
            </w:tcBorders>
            <w:noWrap w:val="0"/>
            <w:vAlign w:val="center"/>
          </w:tcPr>
          <w:p>
            <w:pPr>
              <w:spacing w:line="360" w:lineRule="auto"/>
              <w:jc w:val="center"/>
              <w:rPr>
                <w:rFonts w:ascii="宋体" w:hAnsi="宋体" w:cs="宋体"/>
                <w:bCs/>
                <w:color w:val="auto"/>
                <w:szCs w:val="21"/>
                <w:highlight w:val="none"/>
              </w:rPr>
            </w:pPr>
            <w:r>
              <w:rPr>
                <w:rFonts w:hint="eastAsia" w:ascii="宋体" w:hAnsi="宋体" w:cs="宋体"/>
                <w:bCs/>
                <w:color w:val="auto"/>
                <w:szCs w:val="21"/>
                <w:highlight w:val="none"/>
              </w:rPr>
              <w:t>评标办法</w:t>
            </w:r>
          </w:p>
        </w:tc>
        <w:tc>
          <w:tcPr>
            <w:tcW w:w="7051" w:type="dxa"/>
            <w:noWrap w:val="0"/>
            <w:vAlign w:val="center"/>
          </w:tcPr>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评标价相等时，评标委员会依次按照以下优先顺序推荐中标候选人或确定中标人：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（1）按招标文件规定被认定为最新年度广东省公路工程从业单位信用评价等级较高的投标人优先；【采用如下的优先顺序：承诺使用的 AA 级投标人、不承诺使用的AA 级投标人、承诺使用的 A 级投标人、不承诺使用的 A 级投标人、B 级投标人、未参评且被确定为 B 级投标人】；</w:t>
            </w:r>
          </w:p>
          <w:p>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（2）以投标人企业最新年度净资产较高的优先；</w:t>
            </w:r>
          </w:p>
          <w:p>
            <w:pPr>
              <w:spacing w:line="360" w:lineRule="auto"/>
              <w:ind w:firstLine="420" w:firstLineChars="200"/>
              <w:rPr>
                <w:rFonts w:ascii="宋体" w:hAnsi="宋体" w:cs="宋体"/>
                <w:b/>
                <w:color w:val="auto"/>
                <w:szCs w:val="21"/>
                <w:highlight w:val="none"/>
              </w:rPr>
            </w:pPr>
            <w:r>
              <w:rPr>
                <w:rFonts w:hint="eastAsia" w:ascii="宋体" w:hAnsi="宋体" w:cs="宋体"/>
                <w:color w:val="auto"/>
                <w:szCs w:val="21"/>
                <w:highlight w:val="none"/>
              </w:rPr>
              <w:t>（3）评标委员会视投标人情况综合比较，投票确定其名次。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3609" w:hRule="atLeast"/>
          <w:jc w:val="center"/>
        </w:trPr>
        <w:tc>
          <w:tcPr>
            <w:tcW w:w="757"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2.1.1</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2.1.3</w:t>
            </w:r>
          </w:p>
        </w:tc>
        <w:tc>
          <w:tcPr>
            <w:tcW w:w="1264" w:type="dxa"/>
            <w:tcBorders>
              <w:left w:val="single" w:color="auto" w:sz="4" w:space="0"/>
            </w:tcBorders>
            <w:noWrap w:val="0"/>
            <w:vAlign w:val="center"/>
          </w:tcPr>
          <w:p>
            <w:pPr>
              <w:snapToGrid w:val="0"/>
              <w:spacing w:line="360" w:lineRule="auto"/>
              <w:ind w:right="113"/>
              <w:contextualSpacing/>
              <w:jc w:val="center"/>
              <w:rPr>
                <w:rFonts w:ascii="宋体" w:hAnsi="宋体" w:cs="宋体"/>
                <w:color w:val="auto"/>
                <w:szCs w:val="21"/>
                <w:highlight w:val="none"/>
              </w:rPr>
            </w:pPr>
            <w:r>
              <w:rPr>
                <w:rFonts w:hint="eastAsia" w:ascii="宋体" w:hAnsi="宋体" w:cs="宋体"/>
                <w:color w:val="auto"/>
                <w:szCs w:val="21"/>
                <w:highlight w:val="none"/>
              </w:rPr>
              <w:t>形式评审与响应性评审标准</w:t>
            </w:r>
          </w:p>
        </w:tc>
        <w:tc>
          <w:tcPr>
            <w:tcW w:w="7051" w:type="dxa"/>
            <w:noWrap w:val="0"/>
            <w:vAlign w:val="center"/>
          </w:tcPr>
          <w:p>
            <w:pPr>
              <w:spacing w:line="360" w:lineRule="auto"/>
              <w:ind w:right="113"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第一个信封（商务及技术文件）评审标准：</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（1）投标文件按照招标文件规定的格式、内容填写，字迹清晰可辨：</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a.投标函按招标文件规定填报了项目名称、标段号、补遗书编号（如有）、工期、工程质量要求及安全目标；</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b.投标函附录的所有数据均符合招标文件规定；</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c.投标文件组成齐全完整，内容均按规定填写。</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（2）投标文件上法定代表人或其委托代理人的签字、投标人的单位章盖章齐全，符合招标文件规定。</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（3）投标人按照招标文件的规定提供了投标保证金：</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a.投标保证金金额符合招标文件规定的金额，且投标保证金有效期不少于投标有效期；</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b.若投标保证金采用现金或支票形式提交，投标人应在递交投标文件截止时间之前，将投标保证金由投标人的基本账户转入招标人指定账户；</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c.若投标保证金采用银行保函形式提交，银行保函的格式、开具保函的银行均满足招标文件要求，</w:t>
            </w:r>
            <w:r>
              <w:rPr>
                <w:rFonts w:hint="eastAsia" w:ascii="宋体" w:hAnsi="宋体" w:cs="宋体"/>
                <w:color w:val="auto"/>
                <w:szCs w:val="21"/>
                <w:highlight w:val="none"/>
                <w:lang w:val="en-US" w:eastAsia="zh-CN"/>
              </w:rPr>
              <w:t>银行保函原件</w:t>
            </w:r>
            <w:r>
              <w:rPr>
                <w:rFonts w:hint="eastAsia" w:ascii="宋体" w:hAnsi="宋体" w:cs="宋体"/>
                <w:color w:val="auto"/>
                <w:szCs w:val="21"/>
                <w:highlight w:val="none"/>
              </w:rPr>
              <w:t>在递交投标文件时</w:t>
            </w:r>
            <w:r>
              <w:rPr>
                <w:rFonts w:hint="eastAsia" w:ascii="宋体" w:hAnsi="宋体" w:cs="宋体"/>
                <w:color w:val="auto"/>
                <w:szCs w:val="21"/>
                <w:highlight w:val="none"/>
                <w:lang w:val="en-US" w:eastAsia="zh-CN"/>
              </w:rPr>
              <w:t>单独密封递交，其复印件装订在投标文件中</w:t>
            </w:r>
            <w:r>
              <w:rPr>
                <w:rFonts w:hint="eastAsia" w:ascii="宋体" w:hAnsi="宋体" w:cs="宋体"/>
                <w:color w:val="auto"/>
                <w:szCs w:val="21"/>
                <w:highlight w:val="none"/>
              </w:rPr>
              <w:t>。</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（4）投标人法定代表人授权委托代理人签署投标文件的，需提交授权委托书，且授权人和被授权人均在授权委托书上签名，未使用印章、签名章或其他电子制版签名代替。</w:t>
            </w:r>
          </w:p>
          <w:p>
            <w:pPr>
              <w:spacing w:line="360" w:lineRule="auto"/>
              <w:ind w:left="113" w:right="113" w:firstLine="210" w:firstLineChars="100"/>
              <w:rPr>
                <w:rFonts w:ascii="宋体" w:hAnsi="宋体" w:cs="宋体"/>
                <w:color w:val="auto"/>
                <w:szCs w:val="21"/>
                <w:highlight w:val="none"/>
              </w:rPr>
            </w:pPr>
            <w:r>
              <w:rPr>
                <w:rFonts w:hint="eastAsia" w:ascii="宋体" w:hAnsi="宋体" w:cs="宋体"/>
                <w:color w:val="auto"/>
                <w:szCs w:val="21"/>
                <w:highlight w:val="none"/>
              </w:rPr>
              <w:t>（5）投标人法定代表人亲自签署投标文件的，提供了法定代表人身份证明，且法定代表人在法定代表人身份证明上签名，未使用印章、签名章或其他电子制版签名代替。</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（6）投标人如有分包计划，符合招标文件第二章“投标人须知”第 1.11 款规定，且按招标文件第九章“投标文件格式”的要求填写了“拟分包项目情况表”。</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（7）同一投标人未提交两个以上不同的投标文件，但招标文件要求提交备选投标的除外。</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（8）投标文件中未出现有关投标报价的内容。</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（9）投标文件载明的招标项目完成期限未超过招标文件规定的时限。</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（10）投标文件对招标文件的实质性要求和条件作出响应。</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（11）权利义务符合招标文件规定：</w:t>
            </w:r>
          </w:p>
          <w:p>
            <w:pPr>
              <w:spacing w:line="360" w:lineRule="auto"/>
              <w:ind w:left="113" w:right="113" w:firstLine="212" w:firstLineChars="100"/>
              <w:rPr>
                <w:rFonts w:ascii="宋体" w:hAnsi="宋体" w:cs="宋体"/>
                <w:color w:val="auto"/>
                <w:spacing w:val="1"/>
                <w:szCs w:val="21"/>
                <w:highlight w:val="none"/>
              </w:rPr>
            </w:pPr>
            <w:r>
              <w:rPr>
                <w:rFonts w:hint="eastAsia" w:ascii="宋体" w:hAnsi="宋体" w:cs="宋体"/>
                <w:color w:val="auto"/>
                <w:spacing w:val="1"/>
                <w:szCs w:val="21"/>
                <w:highlight w:val="none"/>
              </w:rPr>
              <w:t>a.投标人应接受招标文件规定的风险划分原则，未提出新的风险划分办法；</w:t>
            </w:r>
          </w:p>
          <w:p>
            <w:pPr>
              <w:spacing w:line="360" w:lineRule="auto"/>
              <w:ind w:left="533" w:leftChars="153" w:right="113" w:hanging="212" w:hangingChars="100"/>
              <w:rPr>
                <w:rFonts w:ascii="宋体" w:hAnsi="宋体" w:cs="宋体"/>
                <w:color w:val="auto"/>
                <w:spacing w:val="1"/>
                <w:szCs w:val="21"/>
                <w:highlight w:val="none"/>
              </w:rPr>
            </w:pPr>
            <w:r>
              <w:rPr>
                <w:rFonts w:hint="eastAsia" w:ascii="宋体" w:hAnsi="宋体" w:cs="宋体"/>
                <w:color w:val="auto"/>
                <w:spacing w:val="1"/>
                <w:szCs w:val="21"/>
                <w:highlight w:val="none"/>
              </w:rPr>
              <w:t>b.投标人未增加发包人的责任范围，或减少投标人义务；</w:t>
            </w:r>
          </w:p>
          <w:p>
            <w:pPr>
              <w:spacing w:line="360" w:lineRule="auto"/>
              <w:ind w:left="533" w:leftChars="153" w:right="113" w:hanging="212" w:hangingChars="100"/>
              <w:rPr>
                <w:rFonts w:ascii="宋体" w:hAnsi="宋体" w:cs="宋体"/>
                <w:color w:val="auto"/>
                <w:szCs w:val="21"/>
                <w:highlight w:val="none"/>
              </w:rPr>
            </w:pPr>
            <w:r>
              <w:rPr>
                <w:rFonts w:hint="eastAsia" w:ascii="宋体" w:hAnsi="宋体" w:cs="宋体"/>
                <w:color w:val="auto"/>
                <w:spacing w:val="1"/>
                <w:szCs w:val="21"/>
                <w:highlight w:val="none"/>
              </w:rPr>
              <w:t>c.投标人未提出不同的工程验收、计量、支付办</w:t>
            </w:r>
            <w:r>
              <w:rPr>
                <w:rFonts w:hint="eastAsia" w:ascii="宋体" w:hAnsi="宋体" w:cs="宋体"/>
                <w:color w:val="auto"/>
                <w:szCs w:val="21"/>
                <w:highlight w:val="none"/>
              </w:rPr>
              <w:t>法；</w:t>
            </w:r>
          </w:p>
          <w:p>
            <w:pPr>
              <w:spacing w:line="360" w:lineRule="auto"/>
              <w:ind w:left="531" w:leftChars="153" w:right="113" w:hanging="210" w:hangingChars="100"/>
              <w:rPr>
                <w:rFonts w:ascii="宋体" w:hAnsi="宋体" w:cs="宋体"/>
                <w:color w:val="auto"/>
                <w:szCs w:val="21"/>
                <w:highlight w:val="none"/>
              </w:rPr>
            </w:pPr>
            <w:r>
              <w:rPr>
                <w:rFonts w:hint="eastAsia" w:ascii="宋体" w:hAnsi="宋体" w:cs="宋体"/>
                <w:color w:val="auto"/>
                <w:szCs w:val="21"/>
                <w:highlight w:val="none"/>
              </w:rPr>
              <w:t>d.投标人对合同纠纷、事故处理办法未提出异议；</w:t>
            </w:r>
          </w:p>
          <w:p>
            <w:pPr>
              <w:spacing w:line="360" w:lineRule="auto"/>
              <w:ind w:left="531" w:leftChars="153" w:right="113" w:hanging="210" w:hangingChars="100"/>
              <w:rPr>
                <w:rFonts w:ascii="宋体" w:hAnsi="宋体" w:cs="宋体"/>
                <w:color w:val="auto"/>
                <w:szCs w:val="21"/>
                <w:highlight w:val="none"/>
              </w:rPr>
            </w:pPr>
            <w:r>
              <w:rPr>
                <w:rFonts w:hint="eastAsia" w:ascii="宋体" w:hAnsi="宋体" w:cs="宋体"/>
                <w:color w:val="auto"/>
                <w:szCs w:val="21"/>
                <w:highlight w:val="none"/>
              </w:rPr>
              <w:t>e.投标人在投标活动中无欺诈行为；</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 xml:space="preserve"> f.投标人未对合同条款有重要保留。</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（12）投标文件正、副本份数符合招标文件第二章“投标人须知”第 3.7.4 项规定。</w:t>
            </w:r>
          </w:p>
          <w:p>
            <w:pPr>
              <w:spacing w:line="360" w:lineRule="auto"/>
              <w:ind w:right="113" w:firstLine="210" w:firstLineChars="100"/>
              <w:rPr>
                <w:rFonts w:ascii="宋体" w:hAnsi="宋体" w:cs="宋体"/>
                <w:color w:val="auto"/>
                <w:szCs w:val="21"/>
                <w:highlight w:val="none"/>
              </w:rPr>
            </w:pPr>
            <w:r>
              <w:rPr>
                <w:rFonts w:hint="eastAsia" w:ascii="宋体" w:hAnsi="宋体" w:cs="宋体"/>
                <w:color w:val="auto"/>
                <w:szCs w:val="21"/>
                <w:highlight w:val="none"/>
              </w:rPr>
              <w:t>（13）投标文件未附有招标人不能接受的条件。</w:t>
            </w:r>
          </w:p>
          <w:p>
            <w:pPr>
              <w:spacing w:line="360" w:lineRule="auto"/>
              <w:ind w:right="113" w:firstLine="210" w:firstLineChars="100"/>
              <w:rPr>
                <w:rFonts w:ascii="宋体" w:hAnsi="宋体" w:cs="宋体"/>
                <w:color w:val="auto"/>
                <w:szCs w:val="21"/>
                <w:highlight w:val="none"/>
              </w:rPr>
            </w:pPr>
          </w:p>
          <w:p>
            <w:pPr>
              <w:spacing w:line="360" w:lineRule="auto"/>
              <w:ind w:right="113" w:firstLine="211" w:firstLineChars="100"/>
              <w:rPr>
                <w:rFonts w:ascii="宋体" w:hAnsi="宋体" w:cs="宋体"/>
                <w:color w:val="auto"/>
                <w:szCs w:val="21"/>
                <w:highlight w:val="none"/>
              </w:rPr>
            </w:pPr>
            <w:r>
              <w:rPr>
                <w:rFonts w:hint="eastAsia" w:ascii="宋体" w:hAnsi="宋体" w:cs="宋体"/>
                <w:b/>
                <w:bCs/>
                <w:color w:val="auto"/>
                <w:szCs w:val="21"/>
                <w:highlight w:val="none"/>
              </w:rPr>
              <w:t>第二个信封（报价文件）评审标准：</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（1）投标文件按照招标文件规定的格式、内容填写，字迹清晰可辨：</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a.投标函按招标文件规定填报了项目名称、标段号、补遗书编号（如有）、投标价（包括大写金额和小写金额）；</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b.已标价工程量清单说明文字与招标文件规定一致，未进行实质性修改和删减；</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c.投标文件组成齐全完整，内容均按规定填写。</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（2）投标文件上法定代表人或其委托代理人的签字、投标人的单位章盖章齐全，符合招标文件规定。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（3）投标报价或调价函中的报价未超过招标文件设定的最高投标限价（如有）。</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（4）投标报价或调价函中报价的大写金额能够确定具体数值。</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（5）同一投标人未提交两个以上不同的投标报价，但招标文件要求提交备选投标的除外。</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（6）投标人若提交调价函，调价函符合招标文件第二章“投标人须知”第 3.2.6 项要求。</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（7）投标人若填写工程量固化清单，填写完毕的工程量固化清单未对工程量固化清单电子文件中的数据、格式和运算定义进行修改；工程量固化清单中的投标报价和投标函大写金额报价一致。</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（8）投标文件正、副本份数符合招标文件第二章“投标人须知”第3.7.4 项规定。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341" w:hRule="atLeast"/>
          <w:jc w:val="center"/>
        </w:trPr>
        <w:tc>
          <w:tcPr>
            <w:tcW w:w="757" w:type="dxa"/>
            <w:noWrap w:val="0"/>
            <w:vAlign w:val="center"/>
          </w:tcPr>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2.1.2</w:t>
            </w:r>
          </w:p>
        </w:tc>
        <w:tc>
          <w:tcPr>
            <w:tcW w:w="1264" w:type="dxa"/>
            <w:noWrap w:val="0"/>
            <w:vAlign w:val="center"/>
          </w:tcPr>
          <w:p>
            <w:pPr>
              <w:snapToGrid w:val="0"/>
              <w:spacing w:line="360" w:lineRule="auto"/>
              <w:ind w:right="113"/>
              <w:contextualSpacing/>
              <w:jc w:val="center"/>
              <w:rPr>
                <w:rFonts w:ascii="宋体" w:hAnsi="宋体" w:cs="宋体"/>
                <w:color w:val="auto"/>
                <w:szCs w:val="21"/>
                <w:highlight w:val="none"/>
              </w:rPr>
            </w:pPr>
            <w:r>
              <w:rPr>
                <w:rFonts w:hint="eastAsia" w:ascii="宋体" w:hAnsi="宋体" w:cs="宋体"/>
                <w:color w:val="auto"/>
                <w:szCs w:val="21"/>
                <w:highlight w:val="none"/>
              </w:rPr>
              <w:t>资格评审标准</w:t>
            </w:r>
          </w:p>
        </w:tc>
        <w:tc>
          <w:tcPr>
            <w:tcW w:w="7051" w:type="dxa"/>
            <w:noWrap w:val="0"/>
            <w:vAlign w:val="center"/>
          </w:tcPr>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（1）投标人具备有效的营业执照、组织机构代码证（如有）、资质证书、安全生产许可证和基本账户开户许可证。</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（2）投标人的资质等级符合招标文件规定。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（3）投标人的财务状况符合招标文件规定。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（4）投标人的类似项目业绩符合招标文件规定。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（5）投标人的信誉符合招标文件规定。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（6）投标人的项目经理和项目总工资格、在岗情况符合招标文件规定。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（7）投标人的其他要求符合招标文件规定。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（8）投标人不存在第二章“投标人须知”第 1.4.3 项或第 1.4.4 项规定的任何一种情形。</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（9）投标人符合第二章“投标人须知”第 1.4.5 项规定。</w:t>
            </w:r>
          </w:p>
        </w:tc>
      </w:tr>
    </w:tbl>
    <w:p>
      <w:pPr>
        <w:spacing w:line="360" w:lineRule="auto"/>
        <w:rPr>
          <w:rFonts w:ascii="宋体" w:hAnsi="宋体" w:cs="宋体"/>
          <w:color w:val="auto"/>
          <w:szCs w:val="21"/>
          <w:highlight w:val="none"/>
        </w:rPr>
      </w:pPr>
    </w:p>
    <w:p>
      <w:pPr>
        <w:spacing w:line="360" w:lineRule="auto"/>
        <w:rPr>
          <w:rFonts w:ascii="宋体" w:hAnsi="宋体" w:cs="宋体"/>
          <w:color w:val="auto"/>
          <w:szCs w:val="21"/>
          <w:highlight w:val="none"/>
        </w:rPr>
      </w:pPr>
    </w:p>
    <w:p>
      <w:pPr>
        <w:spacing w:line="360" w:lineRule="auto"/>
        <w:rPr>
          <w:rFonts w:ascii="宋体" w:hAnsi="宋体" w:cs="宋体"/>
          <w:color w:val="auto"/>
          <w:szCs w:val="21"/>
          <w:highlight w:val="none"/>
        </w:rPr>
      </w:pPr>
    </w:p>
    <w:p>
      <w:pPr>
        <w:spacing w:line="360" w:lineRule="auto"/>
        <w:rPr>
          <w:rFonts w:ascii="宋体" w:hAnsi="宋体" w:cs="宋体"/>
          <w:color w:val="auto"/>
          <w:szCs w:val="21"/>
          <w:highlight w:val="none"/>
        </w:rPr>
      </w:pPr>
    </w:p>
    <w:p>
      <w:pPr>
        <w:spacing w:line="360" w:lineRule="auto"/>
        <w:rPr>
          <w:rFonts w:ascii="宋体" w:hAnsi="宋体" w:cs="宋体"/>
          <w:color w:val="auto"/>
          <w:szCs w:val="21"/>
          <w:highlight w:val="none"/>
        </w:rPr>
      </w:pPr>
    </w:p>
    <w:p>
      <w:pPr>
        <w:spacing w:line="360" w:lineRule="auto"/>
        <w:rPr>
          <w:rFonts w:ascii="宋体" w:hAnsi="宋体" w:cs="宋体"/>
          <w:color w:val="auto"/>
          <w:szCs w:val="21"/>
          <w:highlight w:val="none"/>
        </w:rPr>
      </w:pPr>
    </w:p>
    <w:p>
      <w:pPr>
        <w:spacing w:line="360" w:lineRule="auto"/>
        <w:rPr>
          <w:rFonts w:ascii="宋体" w:hAnsi="宋体" w:cs="宋体"/>
          <w:color w:val="auto"/>
          <w:szCs w:val="21"/>
          <w:highlight w:val="none"/>
        </w:rPr>
      </w:pPr>
    </w:p>
    <w:p>
      <w:pPr>
        <w:rPr>
          <w:rFonts w:ascii="宋体" w:hAnsi="宋体" w:cs="宋体"/>
          <w:color w:val="auto"/>
          <w:sz w:val="24"/>
          <w:highlight w:val="none"/>
        </w:rPr>
      </w:pPr>
      <w:r>
        <w:rPr>
          <w:rFonts w:ascii="宋体" w:hAnsi="宋体" w:cs="宋体"/>
          <w:color w:val="auto"/>
          <w:sz w:val="24"/>
          <w:highlight w:val="none"/>
        </w:rPr>
        <w:br w:type="page"/>
      </w:r>
    </w:p>
    <w:p>
      <w:pPr>
        <w:pStyle w:val="2"/>
        <w:ind w:left="0" w:leftChars="0" w:firstLine="0" w:firstLineChars="0"/>
        <w:rPr>
          <w:color w:val="auto"/>
          <w:highlight w:val="none"/>
        </w:rPr>
      </w:pPr>
    </w:p>
    <w:tbl>
      <w:tblPr>
        <w:tblStyle w:val="7"/>
        <w:tblpPr w:leftFromText="180" w:rightFromText="180" w:vertAnchor="text" w:horzAnchor="page" w:tblpX="1517" w:tblpY="116"/>
        <w:tblOverlap w:val="never"/>
        <w:tblW w:w="907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816"/>
        <w:gridCol w:w="1956"/>
        <w:gridCol w:w="530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b/>
                <w:color w:val="auto"/>
                <w:szCs w:val="21"/>
                <w:highlight w:val="none"/>
              </w:rPr>
              <w:t>条款号</w:t>
            </w:r>
          </w:p>
        </w:tc>
        <w:tc>
          <w:tcPr>
            <w:tcW w:w="1956" w:type="dxa"/>
            <w:tcBorders>
              <w:right w:val="single" w:color="auto" w:sz="4" w:space="0"/>
            </w:tcBorders>
            <w:noWrap w:val="0"/>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条款内容</w:t>
            </w:r>
          </w:p>
        </w:tc>
        <w:tc>
          <w:tcPr>
            <w:tcW w:w="5300" w:type="dxa"/>
            <w:tcBorders>
              <w:left w:val="single" w:color="auto" w:sz="4" w:space="0"/>
            </w:tcBorders>
            <w:noWrap w:val="0"/>
            <w:vAlign w:val="center"/>
          </w:tcPr>
          <w:p>
            <w:pPr>
              <w:spacing w:line="360" w:lineRule="auto"/>
              <w:jc w:val="center"/>
              <w:rPr>
                <w:rFonts w:ascii="宋体" w:hAnsi="宋体" w:cs="宋体"/>
                <w:b/>
                <w:bCs/>
                <w:color w:val="auto"/>
                <w:szCs w:val="21"/>
                <w:highlight w:val="none"/>
              </w:rPr>
            </w:pPr>
            <w:r>
              <w:rPr>
                <w:rFonts w:hint="eastAsia" w:ascii="宋体" w:hAnsi="宋体" w:cs="宋体"/>
                <w:b/>
                <w:bCs/>
                <w:color w:val="auto"/>
                <w:szCs w:val="21"/>
                <w:highlight w:val="none"/>
              </w:rPr>
              <w:t>编列内容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94" w:hRule="atLeast"/>
        </w:trPr>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2.2.1</w:t>
            </w:r>
          </w:p>
        </w:tc>
        <w:tc>
          <w:tcPr>
            <w:tcW w:w="195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分值构成</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（总分100分）</w:t>
            </w:r>
          </w:p>
        </w:tc>
        <w:tc>
          <w:tcPr>
            <w:tcW w:w="5300" w:type="dxa"/>
            <w:noWrap w:val="0"/>
            <w:vAlign w:val="center"/>
          </w:tcPr>
          <w:p>
            <w:pPr>
              <w:spacing w:line="360" w:lineRule="auto"/>
              <w:rPr>
                <w:rFonts w:ascii="宋体" w:hAnsi="宋体"/>
                <w:color w:val="auto"/>
                <w:sz w:val="18"/>
                <w:szCs w:val="18"/>
                <w:highlight w:val="none"/>
              </w:rPr>
            </w:pPr>
            <w:r>
              <w:rPr>
                <w:rFonts w:ascii="宋体" w:hAnsi="宋体"/>
                <w:color w:val="auto"/>
                <w:sz w:val="18"/>
                <w:szCs w:val="18"/>
                <w:highlight w:val="none"/>
              </w:rPr>
              <w:t>施工组织设计</w:t>
            </w:r>
            <w:r>
              <w:rPr>
                <w:rFonts w:hint="eastAsia" w:ascii="宋体" w:hAnsi="宋体"/>
                <w:color w:val="auto"/>
                <w:sz w:val="18"/>
                <w:szCs w:val="18"/>
                <w:highlight w:val="none"/>
              </w:rPr>
              <w:t>（A）</w:t>
            </w:r>
            <w:r>
              <w:rPr>
                <w:rFonts w:ascii="宋体" w:hAnsi="宋体"/>
                <w:color w:val="auto"/>
                <w:sz w:val="18"/>
                <w:szCs w:val="18"/>
                <w:highlight w:val="none"/>
              </w:rPr>
              <w:t>：</w:t>
            </w:r>
            <w:r>
              <w:rPr>
                <w:rFonts w:hint="eastAsia" w:ascii="宋体" w:hAnsi="宋体"/>
                <w:color w:val="auto"/>
                <w:sz w:val="18"/>
                <w:szCs w:val="18"/>
                <w:highlight w:val="none"/>
                <w:u w:val="single"/>
                <w:lang w:val="en-US" w:eastAsia="zh-CN"/>
              </w:rPr>
              <w:t>40</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主要人员(B)</w:t>
            </w:r>
            <w:r>
              <w:rPr>
                <w:rFonts w:ascii="宋体" w:hAnsi="宋体"/>
                <w:color w:val="auto"/>
                <w:sz w:val="18"/>
                <w:szCs w:val="18"/>
                <w:highlight w:val="none"/>
              </w:rPr>
              <w:t>：</w:t>
            </w:r>
            <w:r>
              <w:rPr>
                <w:rFonts w:hint="eastAsia" w:ascii="宋体" w:hAnsi="宋体"/>
                <w:color w:val="auto"/>
                <w:sz w:val="18"/>
                <w:szCs w:val="18"/>
                <w:highlight w:val="none"/>
                <w:u w:val="single"/>
              </w:rPr>
              <w:t>2</w:t>
            </w:r>
            <w:r>
              <w:rPr>
                <w:rFonts w:ascii="宋体" w:hAnsi="宋体"/>
                <w:color w:val="auto"/>
                <w:sz w:val="18"/>
                <w:szCs w:val="18"/>
                <w:highlight w:val="none"/>
                <w:u w:val="single"/>
              </w:rPr>
              <w:t>5</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其他因素 (C)</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技术能力：</w:t>
            </w:r>
            <w:r>
              <w:rPr>
                <w:rFonts w:hint="eastAsia" w:ascii="宋体" w:hAnsi="宋体"/>
                <w:color w:val="auto"/>
                <w:sz w:val="18"/>
                <w:szCs w:val="18"/>
                <w:highlight w:val="none"/>
                <w:u w:val="single"/>
                <w:lang w:val="en-US" w:eastAsia="zh-CN"/>
              </w:rPr>
              <w:t>20</w:t>
            </w:r>
            <w:r>
              <w:rPr>
                <w:rFonts w:hint="eastAsia" w:ascii="宋体" w:hAnsi="宋体"/>
                <w:color w:val="auto"/>
                <w:sz w:val="18"/>
                <w:szCs w:val="18"/>
                <w:highlight w:val="none"/>
              </w:rPr>
              <w:t>分</w:t>
            </w:r>
          </w:p>
          <w:p>
            <w:pPr>
              <w:pStyle w:val="2"/>
              <w:ind w:firstLine="0" w:firstLineChars="0"/>
              <w:rPr>
                <w:color w:val="auto"/>
                <w:highlight w:val="none"/>
              </w:rPr>
            </w:pPr>
            <w:r>
              <w:rPr>
                <w:rFonts w:ascii="宋体" w:hAnsi="宋体"/>
                <w:color w:val="auto"/>
                <w:kern w:val="2"/>
                <w:sz w:val="18"/>
                <w:szCs w:val="18"/>
                <w:highlight w:val="none"/>
              </w:rPr>
              <w:t>履约信誉：</w:t>
            </w:r>
            <w:r>
              <w:rPr>
                <w:rFonts w:hint="eastAsia" w:ascii="宋体" w:hAnsi="宋体"/>
                <w:color w:val="auto"/>
                <w:kern w:val="2"/>
                <w:sz w:val="18"/>
                <w:szCs w:val="18"/>
                <w:highlight w:val="none"/>
                <w:u w:val="single"/>
                <w:lang w:val="en-US" w:eastAsia="zh-CN"/>
              </w:rPr>
              <w:t>15</w:t>
            </w:r>
            <w:r>
              <w:rPr>
                <w:rFonts w:hint="eastAsia" w:ascii="宋体" w:hAnsi="宋体"/>
                <w:color w:val="auto"/>
                <w:kern w:val="2"/>
                <w:sz w:val="18"/>
                <w:szCs w:val="18"/>
                <w:highlight w:val="none"/>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2.2.3</w:t>
            </w:r>
          </w:p>
        </w:tc>
        <w:tc>
          <w:tcPr>
            <w:tcW w:w="1956" w:type="dxa"/>
            <w:noWrap w:val="0"/>
            <w:vAlign w:val="center"/>
          </w:tcPr>
          <w:p>
            <w:pPr>
              <w:spacing w:line="360" w:lineRule="auto"/>
              <w:ind w:right="113"/>
              <w:jc w:val="center"/>
              <w:rPr>
                <w:rFonts w:ascii="宋体" w:hAnsi="宋体" w:cs="宋体"/>
                <w:color w:val="auto"/>
                <w:szCs w:val="21"/>
                <w:highlight w:val="none"/>
              </w:rPr>
            </w:pPr>
            <w:r>
              <w:rPr>
                <w:rFonts w:ascii="宋体" w:hAnsi="宋体" w:eastAsia="Times New Roman" w:cs="宋体"/>
                <w:color w:val="auto"/>
                <w:sz w:val="20"/>
                <w:highlight w:val="none"/>
              </w:rPr>
              <w:t>第二个信封详细评审标准</w:t>
            </w:r>
          </w:p>
        </w:tc>
        <w:tc>
          <w:tcPr>
            <w:tcW w:w="5300" w:type="dxa"/>
            <w:noWrap w:val="0"/>
            <w:vAlign w:val="center"/>
          </w:tcPr>
          <w:p>
            <w:pPr>
              <w:spacing w:line="360" w:lineRule="auto"/>
              <w:ind w:right="113"/>
              <w:jc w:val="left"/>
              <w:rPr>
                <w:rFonts w:ascii="宋体" w:hAnsi="宋体" w:cs="宋体"/>
                <w:color w:val="auto"/>
                <w:szCs w:val="21"/>
                <w:highlight w:val="none"/>
              </w:rPr>
            </w:pPr>
            <w:r>
              <w:rPr>
                <w:rFonts w:hint="eastAsia" w:ascii="宋体" w:hAnsi="宋体" w:cs="宋体"/>
                <w:color w:val="auto"/>
                <w:szCs w:val="21"/>
                <w:highlight w:val="none"/>
              </w:rPr>
              <w:t>评标价的评审：</w:t>
            </w:r>
          </w:p>
          <w:p>
            <w:pPr>
              <w:pStyle w:val="2"/>
              <w:spacing w:line="360" w:lineRule="auto"/>
              <w:ind w:firstLine="0"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（1）评标价计算公式：</w:t>
            </w:r>
          </w:p>
          <w:p>
            <w:pPr>
              <w:pStyle w:val="2"/>
              <w:spacing w:line="360" w:lineRule="auto"/>
              <w:ind w:firstLine="0" w:firstLineChars="0"/>
              <w:jc w:val="left"/>
              <w:rPr>
                <w:rFonts w:ascii="宋体" w:hAnsi="宋体" w:cs="宋体"/>
                <w:color w:val="auto"/>
                <w:sz w:val="21"/>
                <w:szCs w:val="21"/>
                <w:highlight w:val="none"/>
              </w:rPr>
            </w:pPr>
            <w:r>
              <w:rPr>
                <w:rFonts w:hint="eastAsia" w:ascii="宋体" w:hAnsi="宋体" w:cs="宋体"/>
                <w:color w:val="auto"/>
                <w:sz w:val="21"/>
                <w:szCs w:val="21"/>
                <w:highlight w:val="none"/>
              </w:rPr>
              <w:t>评标价=修正后的投标报价一暂估价一暂列金额（不含计日工总额）</w:t>
            </w:r>
          </w:p>
          <w:p>
            <w:pPr>
              <w:pStyle w:val="2"/>
              <w:spacing w:line="360" w:lineRule="auto"/>
              <w:ind w:firstLine="420" w:firstLineChars="200"/>
              <w:jc w:val="left"/>
              <w:rPr>
                <w:rFonts w:ascii="宋体" w:hAnsi="宋体" w:cs="宋体"/>
                <w:color w:val="auto"/>
                <w:sz w:val="21"/>
                <w:szCs w:val="21"/>
                <w:highlight w:val="none"/>
              </w:rPr>
            </w:pPr>
            <w:r>
              <w:rPr>
                <w:rFonts w:hint="eastAsia" w:ascii="宋体" w:hAnsi="宋体" w:cs="宋体"/>
                <w:color w:val="auto"/>
                <w:sz w:val="21"/>
                <w:szCs w:val="21"/>
                <w:highlight w:val="none"/>
              </w:rPr>
              <w:t>若投标人的评标价小于最高投标限价85％的，启动澄清程序，要求投标人作出书面说明并提供相关证明材料。投标人不能合理说明或者不能提供相关证明资料的，评标委员会认定该投标人以低于成本报价竞标，否决其投标。当所有投标人的投标因此种情况被否决；或当因此种情况被否决部分投标人后，有效投标人不足三家，评标委员会认为竞争不足的情况出现时，评标委员会可以否决全部投标。未否决全部投标的，评标委员会应当在评标报告中阐明理由并推荐中标候选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1816" w:type="dxa"/>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3.2.4</w:t>
            </w:r>
          </w:p>
        </w:tc>
        <w:tc>
          <w:tcPr>
            <w:tcW w:w="1956" w:type="dxa"/>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通过第一个信封详细评审的投标人数量</w:t>
            </w:r>
          </w:p>
        </w:tc>
        <w:tc>
          <w:tcPr>
            <w:tcW w:w="5300" w:type="dxa"/>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按照投标人的商务和技术得分由高到低排序，选择前5名（不足5名时，按全部实际数量）通过详细评审</w:t>
            </w:r>
          </w:p>
        </w:tc>
      </w:tr>
    </w:tbl>
    <w:p>
      <w:pPr>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p>
      <w:pPr>
        <w:pStyle w:val="2"/>
        <w:ind w:firstLine="480"/>
        <w:rPr>
          <w:color w:val="auto"/>
          <w:highlight w:val="none"/>
        </w:rPr>
      </w:pPr>
    </w:p>
    <w:tbl>
      <w:tblPr>
        <w:tblStyle w:val="7"/>
        <w:tblpPr w:leftFromText="180" w:rightFromText="180" w:vertAnchor="text" w:horzAnchor="page" w:tblpX="1517" w:tblpY="1"/>
        <w:tblOverlap w:val="never"/>
        <w:tblW w:w="907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727"/>
        <w:gridCol w:w="568"/>
        <w:gridCol w:w="634"/>
        <w:gridCol w:w="946"/>
        <w:gridCol w:w="840"/>
        <w:gridCol w:w="535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3715" w:type="dxa"/>
            <w:gridSpan w:val="5"/>
            <w:noWrap w:val="0"/>
            <w:vAlign w:val="center"/>
          </w:tcPr>
          <w:p>
            <w:pPr>
              <w:spacing w:line="360" w:lineRule="auto"/>
              <w:ind w:right="113"/>
              <w:jc w:val="center"/>
              <w:rPr>
                <w:rFonts w:ascii="宋体" w:hAnsi="宋体" w:cs="宋体"/>
                <w:b/>
                <w:bCs/>
                <w:color w:val="auto"/>
                <w:szCs w:val="21"/>
                <w:highlight w:val="none"/>
              </w:rPr>
            </w:pPr>
            <w:r>
              <w:rPr>
                <w:rFonts w:ascii="宋体" w:hAnsi="宋体" w:cs="宋体"/>
                <w:b/>
                <w:bCs/>
                <w:color w:val="auto"/>
                <w:szCs w:val="21"/>
                <w:highlight w:val="none"/>
              </w:rPr>
              <w:t>评分因素与权重分值</w:t>
            </w:r>
          </w:p>
        </w:tc>
        <w:tc>
          <w:tcPr>
            <w:tcW w:w="5357" w:type="dxa"/>
            <w:vMerge w:val="restart"/>
            <w:noWrap w:val="0"/>
            <w:vAlign w:val="center"/>
          </w:tcPr>
          <w:p>
            <w:pPr>
              <w:spacing w:line="360" w:lineRule="auto"/>
              <w:ind w:right="113"/>
              <w:jc w:val="center"/>
              <w:rPr>
                <w:rFonts w:ascii="宋体" w:hAnsi="宋体" w:cs="宋体"/>
                <w:color w:val="auto"/>
                <w:szCs w:val="21"/>
                <w:highlight w:val="none"/>
              </w:rPr>
            </w:pPr>
            <w:r>
              <w:rPr>
                <w:rFonts w:ascii="宋体" w:hAnsi="宋体" w:eastAsia="Times New Roman" w:cs="宋体"/>
                <w:b/>
                <w:bCs/>
                <w:color w:val="auto"/>
                <w:sz w:val="22"/>
                <w:highlight w:val="none"/>
              </w:rPr>
              <w:t>评分标准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096" w:hRule="atLeast"/>
        </w:trPr>
        <w:tc>
          <w:tcPr>
            <w:tcW w:w="727" w:type="dxa"/>
            <w:tcBorders>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条款号</w:t>
            </w:r>
          </w:p>
        </w:tc>
        <w:tc>
          <w:tcPr>
            <w:tcW w:w="568" w:type="dxa"/>
            <w:tcBorders>
              <w:left w:val="single" w:color="auto" w:sz="4" w:space="0"/>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评分</w:t>
            </w:r>
          </w:p>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因素</w:t>
            </w:r>
          </w:p>
        </w:tc>
        <w:tc>
          <w:tcPr>
            <w:tcW w:w="634" w:type="dxa"/>
            <w:tcBorders>
              <w:lef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评分</w:t>
            </w:r>
          </w:p>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因素权重</w:t>
            </w:r>
          </w:p>
        </w:tc>
        <w:tc>
          <w:tcPr>
            <w:tcW w:w="946" w:type="dxa"/>
            <w:tcBorders>
              <w:righ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各评分因素细分项</w:t>
            </w:r>
          </w:p>
        </w:tc>
        <w:tc>
          <w:tcPr>
            <w:tcW w:w="840" w:type="dxa"/>
            <w:tcBorders>
              <w:left w:val="single" w:color="auto" w:sz="4" w:space="0"/>
            </w:tcBorders>
            <w:noWrap w:val="0"/>
            <w:vAlign w:val="center"/>
          </w:tcPr>
          <w:p>
            <w:pPr>
              <w:spacing w:line="360" w:lineRule="auto"/>
              <w:ind w:right="113"/>
              <w:jc w:val="center"/>
              <w:rPr>
                <w:rFonts w:ascii="宋体" w:hAnsi="宋体" w:cs="宋体"/>
                <w:b/>
                <w:bCs/>
                <w:color w:val="auto"/>
                <w:szCs w:val="21"/>
                <w:highlight w:val="none"/>
              </w:rPr>
            </w:pPr>
            <w:r>
              <w:rPr>
                <w:rFonts w:hint="eastAsia" w:ascii="宋体" w:hAnsi="宋体" w:cs="宋体"/>
                <w:b/>
                <w:bCs/>
                <w:color w:val="auto"/>
                <w:szCs w:val="21"/>
                <w:highlight w:val="none"/>
              </w:rPr>
              <w:t>分值</w:t>
            </w:r>
          </w:p>
        </w:tc>
        <w:tc>
          <w:tcPr>
            <w:tcW w:w="5357" w:type="dxa"/>
            <w:vMerge w:val="continue"/>
            <w:noWrap w:val="0"/>
            <w:vAlign w:val="center"/>
          </w:tcPr>
          <w:p>
            <w:pPr>
              <w:spacing w:line="360" w:lineRule="auto"/>
              <w:ind w:right="113"/>
              <w:rPr>
                <w:rFonts w:ascii="宋体" w:hAnsi="宋体" w:cs="宋体"/>
                <w:color w:val="auto"/>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（1）</w:t>
            </w:r>
          </w:p>
        </w:tc>
        <w:tc>
          <w:tcPr>
            <w:tcW w:w="568" w:type="dxa"/>
            <w:vMerge w:val="restart"/>
            <w:tcBorders>
              <w:left w:val="single" w:color="auto" w:sz="4" w:space="0"/>
              <w:right w:val="single" w:color="auto" w:sz="4" w:space="0"/>
            </w:tcBorders>
            <w:noWrap w:val="0"/>
            <w:vAlign w:val="center"/>
          </w:tcPr>
          <w:p>
            <w:pPr>
              <w:rPr>
                <w:rFonts w:ascii="宋体" w:hAnsi="宋体" w:cs="宋体"/>
                <w:color w:val="auto"/>
                <w:szCs w:val="21"/>
                <w:highlight w:val="none"/>
              </w:rPr>
            </w:pPr>
            <w:r>
              <w:rPr>
                <w:rFonts w:hint="eastAsia" w:ascii="宋体" w:hAnsi="宋体"/>
                <w:color w:val="auto"/>
                <w:sz w:val="18"/>
                <w:szCs w:val="18"/>
                <w:highlight w:val="none"/>
              </w:rPr>
              <w:t>施工组织设计</w:t>
            </w:r>
          </w:p>
        </w:tc>
        <w:tc>
          <w:tcPr>
            <w:tcW w:w="634" w:type="dxa"/>
            <w:vMerge w:val="restart"/>
            <w:tcBorders>
              <w:left w:val="single" w:color="auto" w:sz="4" w:space="0"/>
            </w:tcBorders>
            <w:noWrap w:val="0"/>
            <w:vAlign w:val="center"/>
          </w:tcPr>
          <w:p>
            <w:pPr>
              <w:pStyle w:val="10"/>
              <w:shd w:val="clear" w:color="auto" w:fill="auto"/>
              <w:spacing w:before="0" w:line="360" w:lineRule="auto"/>
              <w:jc w:val="center"/>
              <w:rPr>
                <w:rFonts w:ascii="宋体" w:hAnsi="宋体" w:cs="宋体"/>
                <w:color w:val="auto"/>
                <w:szCs w:val="21"/>
                <w:highlight w:val="none"/>
              </w:rPr>
            </w:pPr>
            <w:r>
              <w:rPr>
                <w:rFonts w:hint="eastAsia" w:ascii="宋体" w:hAnsi="宋体" w:eastAsia="宋体"/>
                <w:color w:val="auto"/>
                <w:kern w:val="2"/>
                <w:sz w:val="18"/>
                <w:szCs w:val="18"/>
                <w:highlight w:val="none"/>
              </w:rPr>
              <w:t>40分</w:t>
            </w:r>
          </w:p>
        </w:tc>
        <w:tc>
          <w:tcPr>
            <w:tcW w:w="946"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olor w:val="auto"/>
                <w:sz w:val="18"/>
                <w:szCs w:val="18"/>
                <w:highlight w:val="none"/>
              </w:rPr>
              <w:t>工期保证体系及保证措施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12分</w:t>
            </w:r>
          </w:p>
        </w:tc>
        <w:tc>
          <w:tcPr>
            <w:tcW w:w="5357" w:type="dxa"/>
            <w:noWrap w:val="0"/>
            <w:vAlign w:val="center"/>
          </w:tcPr>
          <w:p>
            <w:pPr>
              <w:tabs>
                <w:tab w:val="left" w:pos="380"/>
                <w:tab w:val="left" w:pos="840"/>
                <w:tab w:val="left" w:pos="1260"/>
              </w:tabs>
              <w:snapToGrid w:val="0"/>
              <w:spacing w:line="260" w:lineRule="exact"/>
              <w:ind w:left="9" w:hanging="9" w:hangingChars="5"/>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1）</w:t>
            </w:r>
            <w:r>
              <w:rPr>
                <w:rFonts w:hint="eastAsia" w:ascii="宋体" w:hAnsi="宋体"/>
                <w:color w:val="auto"/>
                <w:sz w:val="18"/>
                <w:szCs w:val="18"/>
                <w:highlight w:val="none"/>
              </w:rPr>
              <w:t>进度</w:t>
            </w:r>
            <w:r>
              <w:rPr>
                <w:rFonts w:ascii="宋体" w:hAnsi="宋体"/>
                <w:color w:val="auto"/>
                <w:sz w:val="18"/>
                <w:szCs w:val="18"/>
                <w:highlight w:val="none"/>
              </w:rPr>
              <w:t>控制措施得当，对</w:t>
            </w:r>
            <w:r>
              <w:rPr>
                <w:rFonts w:hint="eastAsia" w:ascii="宋体" w:hAnsi="宋体"/>
                <w:color w:val="auto"/>
                <w:sz w:val="18"/>
                <w:szCs w:val="18"/>
                <w:highlight w:val="none"/>
              </w:rPr>
              <w:t>本项目的工期重要性理解特别透彻，对地形地貌特征、</w:t>
            </w:r>
            <w:r>
              <w:rPr>
                <w:rFonts w:ascii="宋体" w:hAnsi="宋体"/>
                <w:color w:val="auto"/>
                <w:sz w:val="18"/>
                <w:szCs w:val="18"/>
                <w:highlight w:val="none"/>
              </w:rPr>
              <w:t>重点工序、天气、关键设备故障、</w:t>
            </w:r>
            <w:r>
              <w:rPr>
                <w:rFonts w:hint="eastAsia" w:ascii="宋体" w:hAnsi="宋体"/>
                <w:color w:val="auto"/>
                <w:sz w:val="18"/>
                <w:szCs w:val="18"/>
                <w:highlight w:val="none"/>
              </w:rPr>
              <w:t>与</w:t>
            </w:r>
            <w:r>
              <w:rPr>
                <w:rFonts w:ascii="宋体" w:hAnsi="宋体"/>
                <w:color w:val="auto"/>
                <w:sz w:val="18"/>
                <w:szCs w:val="18"/>
                <w:highlight w:val="none"/>
              </w:rPr>
              <w:t>其他承包人衔接、社会环境等问题有切实可行的应</w:t>
            </w:r>
            <w:r>
              <w:rPr>
                <w:rFonts w:hint="eastAsia" w:ascii="宋体" w:hAnsi="宋体"/>
                <w:color w:val="auto"/>
                <w:sz w:val="18"/>
                <w:szCs w:val="18"/>
                <w:highlight w:val="none"/>
              </w:rPr>
              <w:t>对或应</w:t>
            </w:r>
            <w:r>
              <w:rPr>
                <w:rFonts w:ascii="宋体" w:hAnsi="宋体"/>
                <w:color w:val="auto"/>
                <w:sz w:val="18"/>
                <w:szCs w:val="18"/>
                <w:highlight w:val="none"/>
              </w:rPr>
              <w:t>急方案，计划</w:t>
            </w:r>
            <w:r>
              <w:rPr>
                <w:rFonts w:hint="eastAsia" w:ascii="宋体" w:hAnsi="宋体"/>
                <w:color w:val="auto"/>
                <w:sz w:val="18"/>
                <w:szCs w:val="18"/>
                <w:highlight w:val="none"/>
              </w:rPr>
              <w:t>科学合理</w:t>
            </w:r>
            <w:r>
              <w:rPr>
                <w:rFonts w:ascii="宋体" w:hAnsi="宋体"/>
                <w:color w:val="auto"/>
                <w:sz w:val="18"/>
                <w:szCs w:val="18"/>
                <w:highlight w:val="none"/>
              </w:rPr>
              <w:t>，</w:t>
            </w:r>
            <w:r>
              <w:rPr>
                <w:rFonts w:hint="eastAsia" w:ascii="宋体" w:hAnsi="宋体"/>
                <w:color w:val="auto"/>
                <w:sz w:val="18"/>
                <w:szCs w:val="18"/>
                <w:highlight w:val="none"/>
              </w:rPr>
              <w:t>可操作性</w:t>
            </w:r>
            <w:r>
              <w:rPr>
                <w:rFonts w:ascii="宋体" w:hAnsi="宋体"/>
                <w:color w:val="auto"/>
                <w:sz w:val="18"/>
                <w:szCs w:val="18"/>
                <w:highlight w:val="none"/>
              </w:rPr>
              <w:t>高，得</w:t>
            </w:r>
            <w:r>
              <w:rPr>
                <w:rFonts w:hint="eastAsia" w:ascii="宋体" w:hAnsi="宋体"/>
                <w:color w:val="auto"/>
                <w:sz w:val="18"/>
                <w:szCs w:val="18"/>
                <w:highlight w:val="none"/>
                <w:u w:val="single"/>
              </w:rPr>
              <w:t>9.6</w:t>
            </w:r>
            <w:r>
              <w:rPr>
                <w:rFonts w:hint="eastAsia" w:ascii="宋体" w:hAnsi="宋体"/>
                <w:color w:val="auto"/>
                <w:sz w:val="18"/>
                <w:szCs w:val="18"/>
                <w:highlight w:val="none"/>
                <w:u w:val="single"/>
                <w:lang w:val="en-US" w:eastAsia="zh-CN"/>
              </w:rPr>
              <w:t>～</w:t>
            </w:r>
            <w:r>
              <w:rPr>
                <w:rFonts w:hint="eastAsia" w:ascii="宋体" w:hAnsi="宋体"/>
                <w:color w:val="auto"/>
                <w:sz w:val="18"/>
                <w:szCs w:val="18"/>
                <w:highlight w:val="none"/>
                <w:u w:val="single"/>
              </w:rPr>
              <w:t>12</w:t>
            </w:r>
            <w:r>
              <w:rPr>
                <w:rFonts w:hint="eastAsia" w:ascii="宋体" w:hAnsi="宋体"/>
                <w:color w:val="auto"/>
                <w:sz w:val="18"/>
                <w:szCs w:val="18"/>
                <w:highlight w:val="none"/>
              </w:rPr>
              <w:t>分（满分分值的80%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100%）；</w:t>
            </w:r>
          </w:p>
          <w:p>
            <w:pPr>
              <w:tabs>
                <w:tab w:val="left" w:pos="380"/>
                <w:tab w:val="left" w:pos="840"/>
                <w:tab w:val="left" w:pos="1260"/>
              </w:tabs>
              <w:snapToGrid w:val="0"/>
              <w:spacing w:line="260" w:lineRule="exact"/>
              <w:ind w:left="9" w:hanging="9" w:hangingChars="5"/>
              <w:rPr>
                <w:rFonts w:ascii="宋体" w:hAnsi="宋体"/>
                <w:color w:val="auto"/>
                <w:sz w:val="18"/>
                <w:szCs w:val="18"/>
                <w:highlight w:val="none"/>
              </w:rPr>
            </w:pPr>
            <w:r>
              <w:rPr>
                <w:rFonts w:hint="eastAsia" w:ascii="宋体" w:hAnsi="宋体"/>
                <w:color w:val="auto"/>
                <w:sz w:val="18"/>
                <w:szCs w:val="18"/>
                <w:highlight w:val="none"/>
              </w:rPr>
              <w:t>（2）工期保证体系及保证措施基本可行，内容较为充实、全面的，得</w:t>
            </w:r>
            <w:r>
              <w:rPr>
                <w:rFonts w:hint="eastAsia" w:ascii="宋体" w:hAnsi="宋体"/>
                <w:color w:val="auto"/>
                <w:sz w:val="18"/>
                <w:szCs w:val="18"/>
                <w:highlight w:val="none"/>
                <w:u w:val="single"/>
              </w:rPr>
              <w:t>7.</w:t>
            </w:r>
            <w:r>
              <w:rPr>
                <w:rFonts w:hint="eastAsia" w:ascii="宋体" w:hAnsi="宋体"/>
                <w:color w:val="auto"/>
                <w:sz w:val="18"/>
                <w:szCs w:val="18"/>
                <w:highlight w:val="none"/>
                <w:u w:val="single"/>
                <w:lang w:val="en-US" w:eastAsia="zh-CN"/>
              </w:rPr>
              <w:t>2</w:t>
            </w:r>
            <w:r>
              <w:rPr>
                <w:rFonts w:hint="eastAsia" w:ascii="宋体" w:hAnsi="宋体"/>
                <w:color w:val="auto"/>
                <w:sz w:val="18"/>
                <w:szCs w:val="18"/>
                <w:highlight w:val="none"/>
                <w:u w:val="single"/>
                <w:lang w:eastAsia="zh-CN"/>
              </w:rPr>
              <w:t>～</w:t>
            </w:r>
            <w:r>
              <w:rPr>
                <w:rFonts w:hint="eastAsia" w:ascii="宋体" w:hAnsi="宋体"/>
                <w:color w:val="auto"/>
                <w:sz w:val="18"/>
                <w:szCs w:val="18"/>
                <w:highlight w:val="none"/>
                <w:u w:val="single"/>
              </w:rPr>
              <w:t>9.</w:t>
            </w:r>
            <w:r>
              <w:rPr>
                <w:rFonts w:hint="eastAsia" w:ascii="宋体" w:hAnsi="宋体"/>
                <w:color w:val="auto"/>
                <w:sz w:val="18"/>
                <w:szCs w:val="18"/>
                <w:highlight w:val="none"/>
                <w:u w:val="single"/>
                <w:lang w:val="en-US" w:eastAsia="zh-CN"/>
              </w:rPr>
              <w:t>6</w:t>
            </w:r>
            <w:r>
              <w:rPr>
                <w:rFonts w:hint="eastAsia" w:ascii="宋体" w:hAnsi="宋体"/>
                <w:color w:val="auto"/>
                <w:sz w:val="18"/>
                <w:szCs w:val="18"/>
                <w:highlight w:val="none"/>
              </w:rPr>
              <w:t>分（满分分值的60%</w:t>
            </w:r>
            <w:r>
              <w:rPr>
                <w:rFonts w:hint="eastAsia" w:ascii="宋体" w:hAnsi="宋体"/>
                <w:color w:val="auto"/>
                <w:sz w:val="18"/>
                <w:szCs w:val="18"/>
                <w:highlight w:val="none"/>
                <w:lang w:eastAsia="zh-CN"/>
              </w:rPr>
              <w:t>～</w:t>
            </w:r>
            <w:r>
              <w:rPr>
                <w:rFonts w:hint="eastAsia" w:ascii="宋体" w:hAnsi="宋体"/>
                <w:color w:val="auto"/>
                <w:sz w:val="18"/>
                <w:szCs w:val="18"/>
                <w:highlight w:val="none"/>
              </w:rPr>
              <w:t>80%）；</w:t>
            </w:r>
          </w:p>
          <w:p>
            <w:pPr>
              <w:tabs>
                <w:tab w:val="left" w:pos="380"/>
                <w:tab w:val="left" w:pos="840"/>
                <w:tab w:val="left" w:pos="1260"/>
              </w:tabs>
              <w:snapToGrid w:val="0"/>
              <w:spacing w:line="260" w:lineRule="exact"/>
              <w:ind w:left="9" w:hanging="9" w:hangingChars="5"/>
              <w:rPr>
                <w:rFonts w:ascii="宋体" w:hAnsi="宋体" w:cs="宋体"/>
                <w:color w:val="auto"/>
                <w:szCs w:val="21"/>
                <w:highlight w:val="none"/>
              </w:rPr>
            </w:pPr>
            <w:r>
              <w:rPr>
                <w:rFonts w:hint="eastAsia" w:ascii="宋体" w:hAnsi="宋体"/>
                <w:color w:val="auto"/>
                <w:sz w:val="18"/>
                <w:szCs w:val="18"/>
                <w:highlight w:val="none"/>
              </w:rPr>
              <w:t>（3）一般但不被评定为不响应的,起评分</w:t>
            </w:r>
            <w:r>
              <w:rPr>
                <w:rFonts w:hint="eastAsia" w:ascii="宋体" w:hAnsi="宋体"/>
                <w:color w:val="auto"/>
                <w:sz w:val="18"/>
                <w:szCs w:val="18"/>
                <w:highlight w:val="none"/>
                <w:u w:val="single"/>
              </w:rPr>
              <w:t>7.</w:t>
            </w:r>
            <w:r>
              <w:rPr>
                <w:rFonts w:hint="eastAsia" w:ascii="宋体" w:hAnsi="宋体"/>
                <w:color w:val="auto"/>
                <w:sz w:val="18"/>
                <w:szCs w:val="18"/>
                <w:highlight w:val="none"/>
                <w:u w:val="single"/>
                <w:lang w:val="en-US" w:eastAsia="zh-CN"/>
              </w:rPr>
              <w:t>2</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rPr>
                <w:rFonts w:ascii="宋体" w:hAnsi="宋体" w:cs="宋体"/>
                <w:color w:val="auto"/>
                <w:szCs w:val="21"/>
                <w:highlight w:val="none"/>
              </w:rPr>
            </w:pPr>
          </w:p>
        </w:tc>
        <w:tc>
          <w:tcPr>
            <w:tcW w:w="634" w:type="dxa"/>
            <w:vMerge w:val="continue"/>
            <w:tcBorders>
              <w:left w:val="single" w:color="auto" w:sz="4" w:space="0"/>
            </w:tcBorders>
            <w:noWrap w:val="0"/>
            <w:vAlign w:val="center"/>
          </w:tcPr>
          <w:p>
            <w:pPr>
              <w:spacing w:line="360" w:lineRule="auto"/>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rPr>
                <w:rFonts w:ascii="宋体" w:hAnsi="宋体" w:cs="宋体"/>
                <w:color w:val="auto"/>
                <w:szCs w:val="21"/>
                <w:highlight w:val="none"/>
              </w:rPr>
            </w:pPr>
            <w:r>
              <w:rPr>
                <w:rFonts w:hint="eastAsia" w:ascii="宋体" w:hAnsi="宋体"/>
                <w:color w:val="auto"/>
                <w:sz w:val="18"/>
                <w:szCs w:val="18"/>
                <w:highlight w:val="none"/>
              </w:rPr>
              <w:t>质量、安全保证体系及保证措施</w:t>
            </w:r>
          </w:p>
        </w:tc>
        <w:tc>
          <w:tcPr>
            <w:tcW w:w="840" w:type="dxa"/>
            <w:tcBorders>
              <w:left w:val="single" w:color="auto" w:sz="4" w:space="0"/>
            </w:tcBorders>
            <w:noWrap w:val="0"/>
            <w:vAlign w:val="center"/>
          </w:tcPr>
          <w:p>
            <w:pPr>
              <w:spacing w:line="360" w:lineRule="auto"/>
              <w:ind w:firstLine="180" w:firstLineChars="100"/>
              <w:rPr>
                <w:rFonts w:ascii="宋体" w:hAnsi="宋体" w:cs="宋体"/>
                <w:color w:val="auto"/>
                <w:szCs w:val="21"/>
                <w:highlight w:val="none"/>
              </w:rPr>
            </w:pPr>
            <w:r>
              <w:rPr>
                <w:rFonts w:hint="eastAsia" w:ascii="宋体" w:hAnsi="宋体"/>
                <w:color w:val="auto"/>
                <w:sz w:val="18"/>
                <w:szCs w:val="18"/>
                <w:highlight w:val="none"/>
              </w:rPr>
              <w:t>16分</w:t>
            </w:r>
          </w:p>
        </w:tc>
        <w:tc>
          <w:tcPr>
            <w:tcW w:w="5357" w:type="dxa"/>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（1）对本项目质量及安全控制有透彻的认识，对施工过程中可能发生的各种质量和安全问题有深刻的认识和合理的预见，并有相应的应对措施，应对措施应科学、充分，能有效处理各种突发问题的，</w:t>
            </w:r>
            <w:r>
              <w:rPr>
                <w:rFonts w:ascii="宋体" w:hAnsi="宋体"/>
                <w:color w:val="auto"/>
                <w:sz w:val="18"/>
                <w:szCs w:val="18"/>
                <w:highlight w:val="none"/>
              </w:rPr>
              <w:t>得</w:t>
            </w:r>
            <w:r>
              <w:rPr>
                <w:rFonts w:hint="eastAsia" w:ascii="宋体" w:hAnsi="宋体"/>
                <w:color w:val="auto"/>
                <w:sz w:val="18"/>
                <w:szCs w:val="18"/>
                <w:highlight w:val="none"/>
                <w:u w:val="single"/>
              </w:rPr>
              <w:t>12.8</w:t>
            </w:r>
            <w:r>
              <w:rPr>
                <w:rFonts w:hint="eastAsia" w:ascii="宋体" w:hAnsi="宋体"/>
                <w:color w:val="auto"/>
                <w:sz w:val="18"/>
                <w:szCs w:val="18"/>
                <w:highlight w:val="none"/>
                <w:u w:val="single"/>
                <w:lang w:eastAsia="zh-CN"/>
              </w:rPr>
              <w:t>～</w:t>
            </w:r>
            <w:r>
              <w:rPr>
                <w:rFonts w:hint="eastAsia" w:ascii="宋体" w:hAnsi="宋体"/>
                <w:color w:val="auto"/>
                <w:sz w:val="18"/>
                <w:szCs w:val="18"/>
                <w:highlight w:val="none"/>
                <w:u w:val="single"/>
              </w:rPr>
              <w:t>16</w:t>
            </w:r>
            <w:r>
              <w:rPr>
                <w:rFonts w:hint="eastAsia" w:ascii="宋体" w:hAnsi="宋体"/>
                <w:color w:val="auto"/>
                <w:sz w:val="18"/>
                <w:szCs w:val="18"/>
                <w:highlight w:val="none"/>
              </w:rPr>
              <w:t>分（满分分值的80%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100%）；</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（2）对本项目质量及安全控制有一定的认识，基本能合理的预见施工过程中可能发生的各种质量和安全问题，并有相应的应对措施，应对措施较为科学、充分，基本能有效处理各种质量和安全问题的，得</w:t>
            </w:r>
            <w:r>
              <w:rPr>
                <w:rFonts w:hint="eastAsia" w:ascii="宋体" w:hAnsi="宋体"/>
                <w:color w:val="auto"/>
                <w:sz w:val="18"/>
                <w:szCs w:val="18"/>
                <w:highlight w:val="none"/>
                <w:u w:val="single"/>
              </w:rPr>
              <w:t>9.</w:t>
            </w:r>
            <w:r>
              <w:rPr>
                <w:rFonts w:hint="eastAsia" w:ascii="宋体" w:hAnsi="宋体"/>
                <w:color w:val="auto"/>
                <w:sz w:val="18"/>
                <w:szCs w:val="18"/>
                <w:highlight w:val="none"/>
                <w:u w:val="single"/>
                <w:lang w:val="en-US" w:eastAsia="zh-CN"/>
              </w:rPr>
              <w:t>6</w:t>
            </w:r>
            <w:r>
              <w:rPr>
                <w:rFonts w:hint="eastAsia" w:ascii="宋体" w:hAnsi="宋体"/>
                <w:color w:val="auto"/>
                <w:sz w:val="18"/>
                <w:szCs w:val="18"/>
                <w:highlight w:val="none"/>
                <w:u w:val="single"/>
                <w:lang w:eastAsia="zh-CN"/>
              </w:rPr>
              <w:t>～</w:t>
            </w:r>
            <w:r>
              <w:rPr>
                <w:rFonts w:hint="eastAsia" w:ascii="宋体" w:hAnsi="宋体"/>
                <w:color w:val="auto"/>
                <w:sz w:val="18"/>
                <w:szCs w:val="18"/>
                <w:highlight w:val="none"/>
                <w:u w:val="single"/>
              </w:rPr>
              <w:t>12.</w:t>
            </w:r>
            <w:r>
              <w:rPr>
                <w:rFonts w:hint="eastAsia" w:ascii="宋体" w:hAnsi="宋体"/>
                <w:color w:val="auto"/>
                <w:sz w:val="18"/>
                <w:szCs w:val="18"/>
                <w:highlight w:val="none"/>
                <w:u w:val="single"/>
                <w:lang w:val="en-US" w:eastAsia="zh-CN"/>
              </w:rPr>
              <w:t>8</w:t>
            </w:r>
            <w:r>
              <w:rPr>
                <w:rFonts w:hint="eastAsia" w:ascii="宋体" w:hAnsi="宋体"/>
                <w:color w:val="auto"/>
                <w:sz w:val="18"/>
                <w:szCs w:val="18"/>
                <w:highlight w:val="none"/>
              </w:rPr>
              <w:t>分（满分分值的60%</w:t>
            </w:r>
            <w:r>
              <w:rPr>
                <w:rFonts w:hint="eastAsia" w:ascii="宋体" w:hAnsi="宋体"/>
                <w:color w:val="auto"/>
                <w:sz w:val="18"/>
                <w:szCs w:val="18"/>
                <w:highlight w:val="none"/>
                <w:lang w:eastAsia="zh-CN"/>
              </w:rPr>
              <w:t>～</w:t>
            </w:r>
            <w:r>
              <w:rPr>
                <w:rFonts w:hint="eastAsia" w:ascii="宋体" w:hAnsi="宋体"/>
                <w:color w:val="auto"/>
                <w:sz w:val="18"/>
                <w:szCs w:val="18"/>
                <w:highlight w:val="none"/>
              </w:rPr>
              <w:t>80%）；</w:t>
            </w:r>
          </w:p>
          <w:p>
            <w:pPr>
              <w:spacing w:line="360" w:lineRule="auto"/>
              <w:rPr>
                <w:color w:val="auto"/>
                <w:highlight w:val="none"/>
              </w:rPr>
            </w:pPr>
            <w:r>
              <w:rPr>
                <w:rFonts w:hint="eastAsia" w:ascii="宋体" w:hAnsi="宋体"/>
                <w:color w:val="auto"/>
                <w:sz w:val="18"/>
                <w:szCs w:val="18"/>
                <w:highlight w:val="none"/>
              </w:rPr>
              <w:t>（3）一般但不被评定为不响应的, 起评分</w:t>
            </w:r>
            <w:r>
              <w:rPr>
                <w:rFonts w:hint="eastAsia" w:ascii="宋体" w:hAnsi="宋体"/>
                <w:color w:val="auto"/>
                <w:sz w:val="18"/>
                <w:szCs w:val="18"/>
                <w:highlight w:val="none"/>
                <w:u w:val="single"/>
              </w:rPr>
              <w:t>9.6</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rPr>
                <w:rFonts w:ascii="宋体" w:hAnsi="宋体" w:cs="宋体"/>
                <w:color w:val="auto"/>
                <w:szCs w:val="21"/>
                <w:highlight w:val="none"/>
              </w:rPr>
            </w:pPr>
          </w:p>
        </w:tc>
        <w:tc>
          <w:tcPr>
            <w:tcW w:w="634" w:type="dxa"/>
            <w:vMerge w:val="continue"/>
            <w:tcBorders>
              <w:left w:val="single" w:color="auto" w:sz="4" w:space="0"/>
            </w:tcBorders>
            <w:noWrap w:val="0"/>
            <w:vAlign w:val="center"/>
          </w:tcPr>
          <w:p>
            <w:pPr>
              <w:spacing w:line="360" w:lineRule="auto"/>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rPr>
                <w:rFonts w:ascii="宋体" w:hAnsi="宋体" w:cs="宋体"/>
                <w:color w:val="auto"/>
                <w:szCs w:val="21"/>
                <w:highlight w:val="none"/>
              </w:rPr>
            </w:pPr>
            <w:r>
              <w:rPr>
                <w:rFonts w:hint="eastAsia" w:ascii="宋体" w:hAnsi="宋体"/>
                <w:color w:val="auto"/>
                <w:sz w:val="18"/>
                <w:szCs w:val="18"/>
                <w:highlight w:val="none"/>
              </w:rPr>
              <w:t>环境保护、文明施工保证体系及措施</w:t>
            </w:r>
          </w:p>
        </w:tc>
        <w:tc>
          <w:tcPr>
            <w:tcW w:w="840" w:type="dxa"/>
            <w:tcBorders>
              <w:left w:val="single" w:color="auto" w:sz="4" w:space="0"/>
            </w:tcBorders>
            <w:noWrap w:val="0"/>
            <w:vAlign w:val="center"/>
          </w:tcPr>
          <w:p>
            <w:pPr>
              <w:spacing w:line="360" w:lineRule="auto"/>
              <w:ind w:firstLine="180" w:firstLineChars="100"/>
              <w:jc w:val="center"/>
              <w:rPr>
                <w:rFonts w:ascii="宋体" w:hAnsi="宋体" w:cs="宋体"/>
                <w:color w:val="auto"/>
                <w:szCs w:val="21"/>
                <w:highlight w:val="none"/>
              </w:rPr>
            </w:pPr>
            <w:r>
              <w:rPr>
                <w:rFonts w:hint="eastAsia" w:ascii="宋体" w:hAnsi="宋体"/>
                <w:color w:val="auto"/>
                <w:sz w:val="18"/>
                <w:szCs w:val="18"/>
                <w:highlight w:val="none"/>
              </w:rPr>
              <w:t>12分</w:t>
            </w:r>
          </w:p>
        </w:tc>
        <w:tc>
          <w:tcPr>
            <w:tcW w:w="5357" w:type="dxa"/>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（1）对本项目的环保及文明施工等工作有独到的见解，能制定科学的措施，施工做到符合环保的要求，对文明施工有相应的措施，能创造良好的施工环境的，</w:t>
            </w:r>
            <w:r>
              <w:rPr>
                <w:rFonts w:ascii="宋体" w:hAnsi="宋体"/>
                <w:color w:val="auto"/>
                <w:sz w:val="18"/>
                <w:szCs w:val="18"/>
                <w:highlight w:val="none"/>
              </w:rPr>
              <w:t>得</w:t>
            </w:r>
            <w:r>
              <w:rPr>
                <w:rFonts w:hint="eastAsia" w:ascii="宋体" w:hAnsi="宋体"/>
                <w:color w:val="auto"/>
                <w:sz w:val="18"/>
                <w:szCs w:val="18"/>
                <w:highlight w:val="none"/>
                <w:u w:val="single"/>
              </w:rPr>
              <w:t>9.6</w:t>
            </w:r>
            <w:r>
              <w:rPr>
                <w:rFonts w:hint="eastAsia" w:ascii="宋体" w:hAnsi="宋体"/>
                <w:color w:val="auto"/>
                <w:sz w:val="18"/>
                <w:szCs w:val="18"/>
                <w:highlight w:val="none"/>
                <w:u w:val="single"/>
                <w:lang w:eastAsia="zh-CN"/>
              </w:rPr>
              <w:t>～</w:t>
            </w:r>
            <w:r>
              <w:rPr>
                <w:rFonts w:hint="eastAsia" w:ascii="宋体" w:hAnsi="宋体"/>
                <w:color w:val="auto"/>
                <w:sz w:val="18"/>
                <w:szCs w:val="18"/>
                <w:highlight w:val="none"/>
                <w:u w:val="single"/>
              </w:rPr>
              <w:t>12</w:t>
            </w:r>
            <w:r>
              <w:rPr>
                <w:rFonts w:hint="eastAsia" w:ascii="宋体" w:hAnsi="宋体"/>
                <w:color w:val="auto"/>
                <w:sz w:val="18"/>
                <w:szCs w:val="18"/>
                <w:highlight w:val="none"/>
              </w:rPr>
              <w:t>分（满分分值的80%</w:t>
            </w:r>
            <w:r>
              <w:rPr>
                <w:rFonts w:hint="eastAsia" w:ascii="宋体" w:hAnsi="宋体"/>
                <w:color w:val="auto"/>
                <w:sz w:val="18"/>
                <w:szCs w:val="18"/>
                <w:highlight w:val="none"/>
                <w:lang w:eastAsia="zh-CN"/>
              </w:rPr>
              <w:t>～</w:t>
            </w:r>
            <w:r>
              <w:rPr>
                <w:rFonts w:hint="eastAsia" w:ascii="宋体" w:hAnsi="宋体"/>
                <w:color w:val="auto"/>
                <w:sz w:val="18"/>
                <w:szCs w:val="18"/>
                <w:highlight w:val="none"/>
              </w:rPr>
              <w:t>100%）；</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2</w:t>
            </w:r>
            <w:r>
              <w:rPr>
                <w:rFonts w:hint="eastAsia" w:ascii="宋体" w:hAnsi="宋体"/>
                <w:color w:val="auto"/>
                <w:sz w:val="18"/>
                <w:szCs w:val="18"/>
                <w:highlight w:val="none"/>
              </w:rPr>
              <w:t>）对工程环保及文明施工等工作制定有相关的措施，基本能满足本项目环保及文明施工的要求的，得</w:t>
            </w:r>
            <w:r>
              <w:rPr>
                <w:rFonts w:hint="eastAsia" w:ascii="宋体" w:hAnsi="宋体"/>
                <w:color w:val="auto"/>
                <w:sz w:val="18"/>
                <w:szCs w:val="18"/>
                <w:highlight w:val="none"/>
                <w:u w:val="single"/>
              </w:rPr>
              <w:t>7.</w:t>
            </w:r>
            <w:r>
              <w:rPr>
                <w:rFonts w:hint="eastAsia" w:ascii="宋体" w:hAnsi="宋体"/>
                <w:color w:val="auto"/>
                <w:sz w:val="18"/>
                <w:szCs w:val="18"/>
                <w:highlight w:val="none"/>
                <w:u w:val="single"/>
                <w:lang w:val="en-US" w:eastAsia="zh-CN"/>
              </w:rPr>
              <w:t>2</w:t>
            </w:r>
            <w:r>
              <w:rPr>
                <w:rFonts w:hint="eastAsia" w:ascii="宋体" w:hAnsi="宋体"/>
                <w:color w:val="auto"/>
                <w:sz w:val="18"/>
                <w:szCs w:val="18"/>
                <w:highlight w:val="none"/>
                <w:u w:val="single"/>
                <w:lang w:eastAsia="zh-CN"/>
              </w:rPr>
              <w:t>～</w:t>
            </w:r>
            <w:r>
              <w:rPr>
                <w:rFonts w:hint="eastAsia" w:ascii="宋体" w:hAnsi="宋体"/>
                <w:color w:val="auto"/>
                <w:sz w:val="18"/>
                <w:szCs w:val="18"/>
                <w:highlight w:val="none"/>
                <w:u w:val="single"/>
              </w:rPr>
              <w:t>9.</w:t>
            </w:r>
            <w:r>
              <w:rPr>
                <w:rFonts w:hint="eastAsia" w:ascii="宋体" w:hAnsi="宋体"/>
                <w:color w:val="auto"/>
                <w:sz w:val="18"/>
                <w:szCs w:val="18"/>
                <w:highlight w:val="none"/>
                <w:u w:val="single"/>
                <w:lang w:val="en-US" w:eastAsia="zh-CN"/>
              </w:rPr>
              <w:t>6</w:t>
            </w:r>
            <w:r>
              <w:rPr>
                <w:rFonts w:hint="eastAsia" w:ascii="宋体" w:hAnsi="宋体"/>
                <w:color w:val="auto"/>
                <w:sz w:val="18"/>
                <w:szCs w:val="18"/>
                <w:highlight w:val="none"/>
              </w:rPr>
              <w:t>分（满分分值的60%</w:t>
            </w:r>
            <w:r>
              <w:rPr>
                <w:rFonts w:hint="eastAsia" w:ascii="宋体" w:hAnsi="宋体"/>
                <w:color w:val="auto"/>
                <w:sz w:val="18"/>
                <w:szCs w:val="18"/>
                <w:highlight w:val="none"/>
                <w:lang w:eastAsia="zh-CN"/>
              </w:rPr>
              <w:t>～</w:t>
            </w:r>
            <w:r>
              <w:rPr>
                <w:rFonts w:hint="eastAsia" w:ascii="宋体" w:hAnsi="宋体"/>
                <w:color w:val="auto"/>
                <w:sz w:val="18"/>
                <w:szCs w:val="18"/>
                <w:highlight w:val="none"/>
              </w:rPr>
              <w:t>80%）；</w:t>
            </w:r>
          </w:p>
          <w:p>
            <w:pPr>
              <w:spacing w:line="360" w:lineRule="auto"/>
              <w:rPr>
                <w:rFonts w:ascii="宋体" w:hAnsi="宋体" w:cs="宋体"/>
                <w:color w:val="auto"/>
                <w:szCs w:val="21"/>
                <w:highlight w:val="none"/>
              </w:rPr>
            </w:pPr>
            <w:r>
              <w:rPr>
                <w:rFonts w:hint="eastAsia" w:ascii="宋体" w:hAnsi="宋体"/>
                <w:color w:val="auto"/>
                <w:sz w:val="18"/>
                <w:szCs w:val="18"/>
                <w:highlight w:val="none"/>
              </w:rPr>
              <w:t>（3）一般但不被评定为不响应的, 起评分</w:t>
            </w:r>
            <w:r>
              <w:rPr>
                <w:rFonts w:hint="eastAsia" w:ascii="宋体" w:hAnsi="宋体"/>
                <w:color w:val="auto"/>
                <w:sz w:val="18"/>
                <w:szCs w:val="18"/>
                <w:highlight w:val="none"/>
                <w:u w:val="single"/>
              </w:rPr>
              <w:t>7.2</w:t>
            </w:r>
            <w:r>
              <w:rPr>
                <w:rFonts w:ascii="宋体" w:hAnsi="宋体"/>
                <w:color w:val="auto"/>
                <w:sz w:val="18"/>
                <w:szCs w:val="18"/>
                <w:highlight w:val="none"/>
              </w:rPr>
              <w:t>分</w:t>
            </w:r>
            <w:r>
              <w:rPr>
                <w:rFonts w:hint="eastAsia" w:ascii="宋体" w:hAnsi="宋体"/>
                <w:color w:val="auto"/>
                <w:sz w:val="18"/>
                <w:szCs w:val="18"/>
                <w:highlight w:val="none"/>
              </w:rPr>
              <w:t>（满分分值的60%）。</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725" w:hRule="atLeast"/>
        </w:trPr>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w:t>
            </w:r>
          </w:p>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w:t>
            </w:r>
          </w:p>
        </w:tc>
        <w:tc>
          <w:tcPr>
            <w:tcW w:w="568" w:type="dxa"/>
            <w:vMerge w:val="restart"/>
            <w:tcBorders>
              <w:left w:val="single" w:color="auto" w:sz="4" w:space="0"/>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主要人员</w:t>
            </w:r>
          </w:p>
        </w:tc>
        <w:tc>
          <w:tcPr>
            <w:tcW w:w="634" w:type="dxa"/>
            <w:vMerge w:val="restart"/>
            <w:tcBorders>
              <w:left w:val="single" w:color="auto" w:sz="4" w:space="0"/>
            </w:tcBorders>
            <w:noWrap w:val="0"/>
            <w:vAlign w:val="center"/>
          </w:tcPr>
          <w:p>
            <w:pPr>
              <w:pStyle w:val="10"/>
              <w:tabs>
                <w:tab w:val="left" w:leader="underscore" w:pos="319"/>
              </w:tabs>
              <w:spacing w:before="0" w:line="360" w:lineRule="auto"/>
              <w:jc w:val="center"/>
              <w:rPr>
                <w:rFonts w:ascii="宋体" w:hAnsi="宋体" w:cs="宋体"/>
                <w:color w:val="auto"/>
                <w:szCs w:val="21"/>
                <w:highlight w:val="none"/>
              </w:rPr>
            </w:pPr>
            <w:r>
              <w:rPr>
                <w:rFonts w:hint="eastAsia" w:ascii="宋体" w:hAnsi="宋体"/>
                <w:color w:val="auto"/>
                <w:sz w:val="18"/>
                <w:szCs w:val="18"/>
                <w:highlight w:val="none"/>
                <w:lang w:val="en-US" w:eastAsia="zh-CN"/>
              </w:rPr>
              <w:t xml:space="preserve">25 </w:t>
            </w:r>
            <w:r>
              <w:rPr>
                <w:rFonts w:hint="eastAsia" w:ascii="宋体" w:hAnsi="宋体"/>
                <w:color w:val="auto"/>
                <w:sz w:val="18"/>
                <w:szCs w:val="18"/>
                <w:highlight w:val="none"/>
              </w:rPr>
              <w:t>分</w:t>
            </w:r>
          </w:p>
        </w:tc>
        <w:tc>
          <w:tcPr>
            <w:tcW w:w="946" w:type="dxa"/>
            <w:tcBorders>
              <w:bottom w:val="single" w:color="auto" w:sz="4" w:space="0"/>
              <w:right w:val="single" w:color="auto" w:sz="4" w:space="0"/>
            </w:tcBorders>
            <w:noWrap w:val="0"/>
            <w:vAlign w:val="center"/>
          </w:tcPr>
          <w:p>
            <w:pPr>
              <w:spacing w:line="360" w:lineRule="auto"/>
              <w:rPr>
                <w:rFonts w:ascii="宋体" w:hAnsi="宋体" w:cs="宋体"/>
                <w:color w:val="auto"/>
                <w:szCs w:val="21"/>
                <w:highlight w:val="none"/>
              </w:rPr>
            </w:pPr>
            <w:r>
              <w:rPr>
                <w:rFonts w:ascii="宋体" w:hAnsi="宋体"/>
                <w:color w:val="auto"/>
                <w:sz w:val="18"/>
                <w:szCs w:val="18"/>
                <w:highlight w:val="none"/>
              </w:rPr>
              <w:t>项目经理任职资格与业绩</w:t>
            </w:r>
          </w:p>
        </w:tc>
        <w:tc>
          <w:tcPr>
            <w:tcW w:w="840" w:type="dxa"/>
            <w:tcBorders>
              <w:left w:val="single" w:color="auto" w:sz="4" w:space="0"/>
              <w:bottom w:val="single" w:color="auto" w:sz="4" w:space="0"/>
            </w:tcBorders>
            <w:noWrap w:val="0"/>
            <w:vAlign w:val="center"/>
          </w:tcPr>
          <w:p>
            <w:pPr>
              <w:spacing w:line="360" w:lineRule="auto"/>
              <w:ind w:firstLine="180" w:firstLineChars="100"/>
              <w:jc w:val="center"/>
              <w:rPr>
                <w:rFonts w:ascii="宋体" w:hAnsi="宋体" w:cs="宋体"/>
                <w:color w:val="auto"/>
                <w:szCs w:val="21"/>
                <w:highlight w:val="none"/>
              </w:rPr>
            </w:pPr>
            <w:r>
              <w:rPr>
                <w:rFonts w:hint="eastAsia" w:ascii="宋体" w:hAnsi="宋体"/>
                <w:color w:val="auto"/>
                <w:sz w:val="18"/>
                <w:szCs w:val="18"/>
                <w:highlight w:val="none"/>
                <w:lang w:val="en-US" w:eastAsia="zh-CN"/>
              </w:rPr>
              <w:t xml:space="preserve">15 </w:t>
            </w:r>
            <w:r>
              <w:rPr>
                <w:rFonts w:hint="eastAsia" w:ascii="宋体" w:hAnsi="宋体"/>
                <w:color w:val="auto"/>
                <w:sz w:val="18"/>
                <w:szCs w:val="18"/>
                <w:highlight w:val="none"/>
              </w:rPr>
              <w:t>分</w:t>
            </w:r>
          </w:p>
        </w:tc>
        <w:tc>
          <w:tcPr>
            <w:tcW w:w="5357" w:type="dxa"/>
            <w:tcBorders>
              <w:bottom w:val="single" w:color="auto" w:sz="4" w:space="0"/>
            </w:tcBorders>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（1）项目经</w:t>
            </w:r>
            <w:r>
              <w:rPr>
                <w:rFonts w:ascii="宋体" w:hAnsi="宋体"/>
                <w:color w:val="auto"/>
                <w:sz w:val="18"/>
                <w:szCs w:val="18"/>
                <w:highlight w:val="none"/>
              </w:rPr>
              <w:t>理</w:t>
            </w:r>
            <w:r>
              <w:rPr>
                <w:rFonts w:hint="eastAsia" w:ascii="宋体" w:hAnsi="宋体"/>
                <w:color w:val="auto"/>
                <w:sz w:val="18"/>
                <w:szCs w:val="18"/>
                <w:highlight w:val="none"/>
              </w:rPr>
              <w:t>（在</w:t>
            </w:r>
            <w:r>
              <w:rPr>
                <w:rFonts w:ascii="宋体" w:hAnsi="宋体"/>
                <w:color w:val="auto"/>
                <w:sz w:val="18"/>
                <w:szCs w:val="18"/>
                <w:highlight w:val="none"/>
              </w:rPr>
              <w:t>满足资格审查</w:t>
            </w:r>
            <w:r>
              <w:rPr>
                <w:rFonts w:hint="eastAsia" w:ascii="宋体" w:hAnsi="宋体"/>
                <w:color w:val="auto"/>
                <w:sz w:val="18"/>
                <w:szCs w:val="18"/>
                <w:highlight w:val="none"/>
              </w:rPr>
              <w:t>条件的最低</w:t>
            </w:r>
            <w:r>
              <w:rPr>
                <w:rFonts w:ascii="宋体" w:hAnsi="宋体"/>
                <w:color w:val="auto"/>
                <w:sz w:val="18"/>
                <w:szCs w:val="18"/>
                <w:highlight w:val="none"/>
              </w:rPr>
              <w:t>要求</w:t>
            </w:r>
            <w:r>
              <w:rPr>
                <w:rFonts w:hint="eastAsia" w:ascii="宋体" w:hAnsi="宋体"/>
                <w:color w:val="auto"/>
                <w:sz w:val="18"/>
                <w:szCs w:val="18"/>
                <w:highlight w:val="none"/>
              </w:rPr>
              <w:t>时</w:t>
            </w:r>
            <w:r>
              <w:rPr>
                <w:rFonts w:hint="eastAsia" w:ascii="宋体" w:hAnsi="宋体"/>
                <w:color w:val="auto"/>
                <w:sz w:val="18"/>
                <w:szCs w:val="18"/>
                <w:highlight w:val="none"/>
                <w:lang w:eastAsia="zh-CN"/>
              </w:rPr>
              <w:t>）</w:t>
            </w:r>
            <w:r>
              <w:rPr>
                <w:rFonts w:hint="eastAsia" w:ascii="宋体" w:hAnsi="宋体"/>
                <w:color w:val="auto"/>
                <w:sz w:val="18"/>
                <w:szCs w:val="18"/>
                <w:highlight w:val="none"/>
              </w:rPr>
              <w:t>，得</w:t>
            </w:r>
            <w:r>
              <w:rPr>
                <w:rFonts w:hint="eastAsia" w:ascii="宋体" w:hAnsi="宋体"/>
                <w:color w:val="auto"/>
                <w:sz w:val="18"/>
                <w:szCs w:val="18"/>
                <w:highlight w:val="none"/>
                <w:u w:val="single"/>
                <w:lang w:val="en-US" w:eastAsia="zh-CN"/>
              </w:rPr>
              <w:t xml:space="preserve"> 5  </w:t>
            </w:r>
            <w:r>
              <w:rPr>
                <w:rFonts w:hint="eastAsia" w:ascii="宋体" w:hAnsi="宋体"/>
                <w:color w:val="auto"/>
                <w:sz w:val="18"/>
                <w:szCs w:val="18"/>
                <w:highlight w:val="none"/>
              </w:rPr>
              <w:t>分；</w:t>
            </w:r>
          </w:p>
          <w:p>
            <w:pPr>
              <w:spacing w:line="360" w:lineRule="auto"/>
              <w:rPr>
                <w:rFonts w:ascii="宋体" w:hAnsi="宋体"/>
                <w:color w:val="auto"/>
                <w:sz w:val="18"/>
                <w:szCs w:val="18"/>
                <w:highlight w:val="none"/>
              </w:rPr>
            </w:pPr>
            <w:r>
              <w:rPr>
                <w:rFonts w:hint="eastAsia" w:ascii="宋体" w:hAnsi="宋体"/>
                <w:color w:val="auto"/>
                <w:sz w:val="18"/>
                <w:szCs w:val="18"/>
                <w:highlight w:val="none"/>
              </w:rPr>
              <w:t>（</w:t>
            </w:r>
            <w:r>
              <w:rPr>
                <w:rFonts w:ascii="宋体" w:hAnsi="宋体"/>
                <w:color w:val="auto"/>
                <w:sz w:val="18"/>
                <w:szCs w:val="18"/>
                <w:highlight w:val="none"/>
              </w:rPr>
              <w:t>2</w:t>
            </w:r>
            <w:r>
              <w:rPr>
                <w:rFonts w:hint="eastAsia" w:ascii="宋体" w:hAnsi="宋体"/>
                <w:color w:val="auto"/>
                <w:sz w:val="18"/>
                <w:szCs w:val="18"/>
                <w:highlight w:val="none"/>
              </w:rPr>
              <w:t>）项目经理</w:t>
            </w:r>
            <w:r>
              <w:rPr>
                <w:rFonts w:hint="eastAsia" w:ascii="宋体" w:hAnsi="宋体"/>
                <w:color w:val="auto"/>
                <w:sz w:val="18"/>
                <w:szCs w:val="18"/>
                <w:highlight w:val="none"/>
                <w:lang w:eastAsia="zh-CN"/>
              </w:rPr>
              <w:t>及备选项目经理（如有）均</w:t>
            </w:r>
            <w:r>
              <w:rPr>
                <w:rFonts w:hint="eastAsia" w:ascii="宋体" w:hAnsi="宋体"/>
                <w:color w:val="auto"/>
                <w:sz w:val="18"/>
                <w:szCs w:val="18"/>
                <w:highlight w:val="none"/>
              </w:rPr>
              <w:t>具有高级工程师资格的，加</w:t>
            </w:r>
            <w:r>
              <w:rPr>
                <w:rFonts w:hint="eastAsia" w:ascii="宋体" w:hAnsi="宋体"/>
                <w:color w:val="auto"/>
                <w:sz w:val="18"/>
                <w:szCs w:val="18"/>
                <w:highlight w:val="none"/>
                <w:u w:val="single"/>
                <w:lang w:val="en-US" w:eastAsia="zh-CN"/>
              </w:rPr>
              <w:t xml:space="preserve"> 5  </w:t>
            </w:r>
            <w:r>
              <w:rPr>
                <w:rFonts w:hint="eastAsia" w:ascii="宋体" w:hAnsi="宋体"/>
                <w:color w:val="auto"/>
                <w:sz w:val="18"/>
                <w:szCs w:val="18"/>
                <w:highlight w:val="none"/>
              </w:rPr>
              <w:t>分；</w:t>
            </w:r>
          </w:p>
          <w:p>
            <w:pPr>
              <w:spacing w:line="360" w:lineRule="auto"/>
              <w:rPr>
                <w:color w:val="auto"/>
                <w:highlight w:val="none"/>
              </w:rPr>
            </w:pPr>
            <w:r>
              <w:rPr>
                <w:rFonts w:hint="eastAsia" w:ascii="宋体" w:hAnsi="宋体"/>
                <w:color w:val="auto"/>
                <w:sz w:val="18"/>
                <w:szCs w:val="18"/>
                <w:highlight w:val="none"/>
              </w:rPr>
              <w:t>（3）每担任1个类似项目项目经理岗位工作经验的，加</w:t>
            </w:r>
            <w:r>
              <w:rPr>
                <w:rFonts w:hint="eastAsia" w:ascii="宋体" w:hAnsi="宋体"/>
                <w:color w:val="auto"/>
                <w:sz w:val="18"/>
                <w:szCs w:val="18"/>
                <w:highlight w:val="none"/>
                <w:u w:val="single"/>
                <w:lang w:val="en-US" w:eastAsia="zh-CN"/>
              </w:rPr>
              <w:t xml:space="preserve"> 2.5 </w:t>
            </w:r>
            <w:r>
              <w:rPr>
                <w:rFonts w:hint="eastAsia" w:ascii="宋体" w:hAnsi="宋体"/>
                <w:color w:val="auto"/>
                <w:sz w:val="18"/>
                <w:szCs w:val="18"/>
                <w:highlight w:val="none"/>
              </w:rPr>
              <w:t>分，</w:t>
            </w:r>
            <w:r>
              <w:rPr>
                <w:rFonts w:hint="eastAsia" w:ascii="宋体" w:hAnsi="宋体"/>
                <w:color w:val="auto"/>
                <w:sz w:val="18"/>
                <w:szCs w:val="18"/>
                <w:highlight w:val="none"/>
                <w:lang w:eastAsia="zh-CN"/>
              </w:rPr>
              <w:t>最多加</w:t>
            </w:r>
            <w:r>
              <w:rPr>
                <w:rFonts w:hint="eastAsia" w:ascii="宋体" w:hAnsi="宋体"/>
                <w:color w:val="auto"/>
                <w:sz w:val="18"/>
                <w:szCs w:val="18"/>
                <w:highlight w:val="none"/>
                <w:u w:val="single"/>
                <w:lang w:val="en-US" w:eastAsia="zh-CN"/>
              </w:rPr>
              <w:t xml:space="preserve">  5 </w:t>
            </w:r>
            <w:r>
              <w:rPr>
                <w:rFonts w:hint="eastAsia" w:ascii="宋体" w:hAnsi="宋体"/>
                <w:color w:val="auto"/>
                <w:sz w:val="18"/>
                <w:szCs w:val="18"/>
                <w:highlight w:val="none"/>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642" w:hRule="atLeast"/>
        </w:trPr>
        <w:tc>
          <w:tcPr>
            <w:tcW w:w="727" w:type="dxa"/>
            <w:vMerge w:val="continue"/>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568" w:type="dxa"/>
            <w:vMerge w:val="continue"/>
            <w:tcBorders>
              <w:left w:val="single" w:color="auto" w:sz="4" w:space="0"/>
              <w:right w:val="single" w:color="auto" w:sz="4" w:space="0"/>
            </w:tcBorders>
            <w:noWrap w:val="0"/>
            <w:vAlign w:val="center"/>
          </w:tcPr>
          <w:p>
            <w:pPr>
              <w:spacing w:line="360" w:lineRule="auto"/>
              <w:ind w:right="113"/>
              <w:jc w:val="center"/>
              <w:rPr>
                <w:rFonts w:ascii="宋体" w:hAnsi="宋体" w:cs="宋体"/>
                <w:color w:val="auto"/>
                <w:szCs w:val="21"/>
                <w:highlight w:val="none"/>
              </w:rPr>
            </w:pPr>
          </w:p>
        </w:tc>
        <w:tc>
          <w:tcPr>
            <w:tcW w:w="634" w:type="dxa"/>
            <w:vMerge w:val="continue"/>
            <w:tcBorders>
              <w:left w:val="single" w:color="auto" w:sz="4" w:space="0"/>
            </w:tcBorders>
            <w:noWrap w:val="0"/>
            <w:vAlign w:val="center"/>
          </w:tcPr>
          <w:p>
            <w:pPr>
              <w:pStyle w:val="10"/>
              <w:shd w:val="clear" w:color="auto" w:fill="auto"/>
              <w:tabs>
                <w:tab w:val="left" w:leader="underscore" w:pos="319"/>
              </w:tabs>
              <w:spacing w:before="0" w:line="360" w:lineRule="auto"/>
              <w:jc w:val="center"/>
              <w:rPr>
                <w:rFonts w:ascii="宋体" w:hAnsi="宋体" w:cs="宋体"/>
                <w:color w:val="auto"/>
                <w:szCs w:val="21"/>
                <w:highlight w:val="none"/>
              </w:rPr>
            </w:pPr>
          </w:p>
        </w:tc>
        <w:tc>
          <w:tcPr>
            <w:tcW w:w="946" w:type="dxa"/>
            <w:tcBorders>
              <w:top w:val="single" w:color="auto" w:sz="4" w:space="0"/>
              <w:right w:val="single" w:color="auto" w:sz="4" w:space="0"/>
            </w:tcBorders>
            <w:noWrap w:val="0"/>
            <w:vAlign w:val="center"/>
          </w:tcPr>
          <w:p>
            <w:pPr>
              <w:spacing w:line="360" w:lineRule="auto"/>
              <w:rPr>
                <w:rFonts w:ascii="宋体" w:hAnsi="宋体" w:cs="宋体"/>
                <w:color w:val="auto"/>
                <w:szCs w:val="21"/>
                <w:highlight w:val="none"/>
              </w:rPr>
            </w:pPr>
            <w:r>
              <w:rPr>
                <w:rFonts w:ascii="宋体" w:hAnsi="宋体"/>
                <w:color w:val="auto"/>
                <w:sz w:val="18"/>
                <w:szCs w:val="18"/>
                <w:highlight w:val="none"/>
              </w:rPr>
              <w:t>项目总工任职资格与业绩</w:t>
            </w:r>
          </w:p>
        </w:tc>
        <w:tc>
          <w:tcPr>
            <w:tcW w:w="840" w:type="dxa"/>
            <w:tcBorders>
              <w:top w:val="single" w:color="auto" w:sz="4" w:space="0"/>
              <w:left w:val="single" w:color="auto" w:sz="4" w:space="0"/>
            </w:tcBorders>
            <w:noWrap w:val="0"/>
            <w:vAlign w:val="center"/>
          </w:tcPr>
          <w:p>
            <w:pPr>
              <w:spacing w:line="360" w:lineRule="auto"/>
              <w:ind w:firstLine="180" w:firstLineChars="100"/>
              <w:jc w:val="center"/>
              <w:rPr>
                <w:rFonts w:ascii="宋体" w:hAnsi="宋体" w:cs="宋体"/>
                <w:color w:val="auto"/>
                <w:szCs w:val="21"/>
                <w:highlight w:val="none"/>
              </w:rPr>
            </w:pPr>
            <w:r>
              <w:rPr>
                <w:rFonts w:hint="eastAsia" w:ascii="宋体" w:hAnsi="宋体"/>
                <w:color w:val="auto"/>
                <w:sz w:val="18"/>
                <w:szCs w:val="18"/>
                <w:highlight w:val="none"/>
                <w:lang w:val="en-US" w:eastAsia="zh-CN"/>
              </w:rPr>
              <w:t xml:space="preserve">10 </w:t>
            </w:r>
            <w:r>
              <w:rPr>
                <w:rFonts w:hint="eastAsia" w:ascii="宋体" w:hAnsi="宋体"/>
                <w:color w:val="auto"/>
                <w:sz w:val="18"/>
                <w:szCs w:val="18"/>
                <w:highlight w:val="none"/>
              </w:rPr>
              <w:t>分</w:t>
            </w:r>
          </w:p>
        </w:tc>
        <w:tc>
          <w:tcPr>
            <w:tcW w:w="5357" w:type="dxa"/>
            <w:tcBorders>
              <w:top w:val="single" w:color="auto" w:sz="4" w:space="0"/>
            </w:tcBorders>
            <w:noWrap w:val="0"/>
            <w:vAlign w:val="center"/>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（1）在</w:t>
            </w:r>
            <w:r>
              <w:rPr>
                <w:rFonts w:ascii="宋体" w:hAnsi="宋体"/>
                <w:color w:val="auto"/>
                <w:sz w:val="18"/>
                <w:szCs w:val="18"/>
                <w:highlight w:val="none"/>
              </w:rPr>
              <w:t>满足资格审查</w:t>
            </w:r>
            <w:r>
              <w:rPr>
                <w:rFonts w:hint="eastAsia" w:ascii="宋体" w:hAnsi="宋体"/>
                <w:color w:val="auto"/>
                <w:sz w:val="18"/>
                <w:szCs w:val="18"/>
                <w:highlight w:val="none"/>
              </w:rPr>
              <w:t>条件的最低</w:t>
            </w:r>
            <w:r>
              <w:rPr>
                <w:rFonts w:ascii="宋体" w:hAnsi="宋体"/>
                <w:color w:val="auto"/>
                <w:sz w:val="18"/>
                <w:szCs w:val="18"/>
                <w:highlight w:val="none"/>
              </w:rPr>
              <w:t>要求</w:t>
            </w:r>
            <w:r>
              <w:rPr>
                <w:rFonts w:hint="eastAsia" w:ascii="宋体" w:hAnsi="宋体"/>
                <w:color w:val="auto"/>
                <w:sz w:val="18"/>
                <w:szCs w:val="18"/>
                <w:highlight w:val="none"/>
              </w:rPr>
              <w:t>时，得</w:t>
            </w:r>
            <w:r>
              <w:rPr>
                <w:rFonts w:hint="eastAsia" w:ascii="宋体" w:hAnsi="宋体"/>
                <w:color w:val="auto"/>
                <w:sz w:val="18"/>
                <w:szCs w:val="18"/>
                <w:highlight w:val="none"/>
                <w:u w:val="single"/>
                <w:lang w:val="en-US" w:eastAsia="zh-CN"/>
              </w:rPr>
              <w:t xml:space="preserve">  5 </w:t>
            </w:r>
            <w:r>
              <w:rPr>
                <w:rFonts w:hint="eastAsia" w:ascii="宋体" w:hAnsi="宋体"/>
                <w:color w:val="auto"/>
                <w:sz w:val="18"/>
                <w:szCs w:val="18"/>
                <w:highlight w:val="none"/>
              </w:rPr>
              <w:t>分；</w:t>
            </w:r>
          </w:p>
          <w:p>
            <w:pPr>
              <w:spacing w:line="360" w:lineRule="auto"/>
              <w:rPr>
                <w:color w:val="auto"/>
                <w:highlight w:val="none"/>
              </w:rPr>
            </w:pPr>
            <w:r>
              <w:rPr>
                <w:rFonts w:hint="eastAsia" w:ascii="宋体" w:hAnsi="宋体"/>
                <w:color w:val="auto"/>
                <w:sz w:val="18"/>
                <w:szCs w:val="18"/>
                <w:highlight w:val="none"/>
              </w:rPr>
              <w:t>（2）每担任1个类似项目</w:t>
            </w:r>
            <w:r>
              <w:rPr>
                <w:rFonts w:hint="eastAsia" w:ascii="宋体" w:hAnsi="宋体"/>
                <w:color w:val="auto"/>
                <w:sz w:val="18"/>
                <w:szCs w:val="18"/>
                <w:highlight w:val="none"/>
                <w:lang w:eastAsia="zh-CN"/>
              </w:rPr>
              <w:t>技术工作</w:t>
            </w:r>
            <w:r>
              <w:rPr>
                <w:rFonts w:hint="eastAsia" w:ascii="宋体" w:hAnsi="宋体"/>
                <w:color w:val="auto"/>
                <w:sz w:val="18"/>
                <w:szCs w:val="18"/>
                <w:highlight w:val="none"/>
              </w:rPr>
              <w:t>岗位工作经验的，加</w:t>
            </w:r>
            <w:r>
              <w:rPr>
                <w:rFonts w:hint="eastAsia" w:ascii="宋体" w:hAnsi="宋体"/>
                <w:color w:val="auto"/>
                <w:sz w:val="18"/>
                <w:szCs w:val="18"/>
                <w:highlight w:val="none"/>
                <w:u w:val="single"/>
                <w:lang w:val="en-US" w:eastAsia="zh-CN"/>
              </w:rPr>
              <w:t xml:space="preserve"> 2.5 </w:t>
            </w:r>
            <w:r>
              <w:rPr>
                <w:rFonts w:hint="eastAsia" w:ascii="宋体" w:hAnsi="宋体"/>
                <w:color w:val="auto"/>
                <w:sz w:val="18"/>
                <w:szCs w:val="18"/>
                <w:highlight w:val="none"/>
              </w:rPr>
              <w:t>分，</w:t>
            </w:r>
            <w:r>
              <w:rPr>
                <w:rFonts w:hint="eastAsia" w:ascii="宋体" w:hAnsi="宋体"/>
                <w:color w:val="auto"/>
                <w:sz w:val="18"/>
                <w:szCs w:val="18"/>
                <w:highlight w:val="none"/>
                <w:lang w:eastAsia="zh-CN"/>
              </w:rPr>
              <w:t>最多加</w:t>
            </w:r>
            <w:r>
              <w:rPr>
                <w:rFonts w:hint="eastAsia" w:ascii="宋体" w:hAnsi="宋体"/>
                <w:color w:val="auto"/>
                <w:sz w:val="18"/>
                <w:szCs w:val="18"/>
                <w:highlight w:val="none"/>
                <w:u w:val="single"/>
                <w:lang w:val="en-US" w:eastAsia="zh-CN"/>
              </w:rPr>
              <w:t xml:space="preserve">  5 </w:t>
            </w:r>
            <w:r>
              <w:rPr>
                <w:rFonts w:hint="eastAsia" w:ascii="宋体" w:hAnsi="宋体"/>
                <w:color w:val="auto"/>
                <w:sz w:val="18"/>
                <w:szCs w:val="18"/>
                <w:highlight w:val="none"/>
              </w:rPr>
              <w:t>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552" w:hRule="atLeast"/>
        </w:trPr>
        <w:tc>
          <w:tcPr>
            <w:tcW w:w="727" w:type="dxa"/>
            <w:vMerge w:val="restart"/>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2.2.2（3）</w:t>
            </w:r>
          </w:p>
        </w:tc>
        <w:tc>
          <w:tcPr>
            <w:tcW w:w="1202" w:type="dxa"/>
            <w:gridSpan w:val="2"/>
            <w:vMerge w:val="restart"/>
            <w:tcBorders>
              <w:left w:val="single" w:color="auto" w:sz="4" w:space="0"/>
            </w:tcBorders>
            <w:noWrap w:val="0"/>
            <w:vAlign w:val="center"/>
          </w:tcPr>
          <w:p>
            <w:pPr>
              <w:pStyle w:val="10"/>
              <w:shd w:val="clear" w:color="auto" w:fill="auto"/>
              <w:spacing w:before="0" w:line="360" w:lineRule="auto"/>
              <w:jc w:val="center"/>
              <w:rPr>
                <w:rFonts w:ascii="宋体" w:hAnsi="宋体" w:cs="宋体"/>
                <w:color w:val="auto"/>
                <w:szCs w:val="21"/>
                <w:highlight w:val="none"/>
              </w:rPr>
            </w:pPr>
            <w:r>
              <w:rPr>
                <w:rFonts w:hint="eastAsia" w:ascii="宋体" w:hAnsi="宋体" w:eastAsia="宋体" w:cs="MingLiU"/>
                <w:color w:val="auto"/>
                <w:sz w:val="18"/>
                <w:szCs w:val="18"/>
                <w:highlight w:val="none"/>
              </w:rPr>
              <w:t>其他因素</w:t>
            </w:r>
          </w:p>
        </w:tc>
        <w:tc>
          <w:tcPr>
            <w:tcW w:w="946" w:type="dxa"/>
            <w:tcBorders>
              <w:right w:val="single" w:color="auto" w:sz="4" w:space="0"/>
            </w:tcBorders>
            <w:noWrap w:val="0"/>
            <w:vAlign w:val="center"/>
          </w:tcPr>
          <w:p>
            <w:pPr>
              <w:jc w:val="center"/>
              <w:rPr>
                <w:rFonts w:ascii="宋体" w:hAnsi="宋体" w:cs="宋体"/>
                <w:color w:val="auto"/>
                <w:szCs w:val="21"/>
                <w:highlight w:val="none"/>
              </w:rPr>
            </w:pPr>
            <w:r>
              <w:rPr>
                <w:rFonts w:hint="eastAsia" w:ascii="宋体" w:hAnsi="宋体"/>
                <w:color w:val="auto"/>
                <w:sz w:val="18"/>
                <w:szCs w:val="18"/>
                <w:highlight w:val="none"/>
              </w:rPr>
              <w:t>技术能力</w:t>
            </w:r>
          </w:p>
        </w:tc>
        <w:tc>
          <w:tcPr>
            <w:tcW w:w="840" w:type="dxa"/>
            <w:tcBorders>
              <w:left w:val="single" w:color="auto" w:sz="4" w:space="0"/>
            </w:tcBorders>
            <w:noWrap w:val="0"/>
            <w:vAlign w:val="center"/>
          </w:tcPr>
          <w:p>
            <w:pPr>
              <w:jc w:val="center"/>
              <w:rPr>
                <w:rFonts w:ascii="宋体" w:hAnsi="宋体" w:cs="宋体"/>
                <w:color w:val="auto"/>
                <w:szCs w:val="21"/>
                <w:highlight w:val="none"/>
              </w:rPr>
            </w:pPr>
            <w:r>
              <w:rPr>
                <w:rFonts w:hint="eastAsia" w:ascii="宋体" w:hAnsi="宋体"/>
                <w:color w:val="auto"/>
                <w:sz w:val="18"/>
                <w:szCs w:val="18"/>
                <w:highlight w:val="none"/>
                <w:lang w:val="en-US" w:eastAsia="zh-CN"/>
              </w:rPr>
              <w:t>20</w:t>
            </w:r>
            <w:r>
              <w:rPr>
                <w:rFonts w:hint="eastAsia" w:ascii="宋体" w:hAnsi="宋体"/>
                <w:color w:val="auto"/>
                <w:sz w:val="18"/>
                <w:szCs w:val="18"/>
                <w:highlight w:val="none"/>
              </w:rPr>
              <w:t>分</w:t>
            </w:r>
          </w:p>
        </w:tc>
        <w:tc>
          <w:tcPr>
            <w:tcW w:w="5357" w:type="dxa"/>
            <w:noWrap w:val="0"/>
            <w:vAlign w:val="center"/>
          </w:tcPr>
          <w:p>
            <w:pPr>
              <w:spacing w:line="360" w:lineRule="auto"/>
              <w:rPr>
                <w:rFonts w:hint="eastAsia"/>
                <w:color w:val="auto"/>
                <w:highlight w:val="none"/>
              </w:rPr>
            </w:pPr>
            <w:r>
              <w:rPr>
                <w:rFonts w:hint="eastAsia"/>
                <w:color w:val="auto"/>
                <w:highlight w:val="none"/>
                <w:lang w:val="en-US" w:eastAsia="zh-CN"/>
              </w:rPr>
              <w:t xml:space="preserve">   </w:t>
            </w:r>
            <w:r>
              <w:rPr>
                <w:rFonts w:hint="eastAsia"/>
                <w:color w:val="auto"/>
                <w:highlight w:val="none"/>
              </w:rPr>
              <w:t xml:space="preserve">投标人获得与项目施工有关的国家级工法、专利（发明专利或实用新型专利）、国家级科学技术进步奖、主编或参编过国家标准、鲁班奖、詹天佑奖，每项加 </w:t>
            </w:r>
            <w:r>
              <w:rPr>
                <w:rFonts w:hint="eastAsia"/>
                <w:color w:val="auto"/>
                <w:highlight w:val="none"/>
                <w:lang w:val="en-US" w:eastAsia="zh-CN"/>
              </w:rPr>
              <w:t>2</w:t>
            </w:r>
            <w:r>
              <w:rPr>
                <w:rFonts w:hint="eastAsia"/>
                <w:color w:val="auto"/>
                <w:highlight w:val="none"/>
              </w:rPr>
              <w:t>分；</w:t>
            </w:r>
          </w:p>
          <w:p>
            <w:pPr>
              <w:spacing w:line="360" w:lineRule="auto"/>
              <w:rPr>
                <w:color w:val="auto"/>
                <w:highlight w:val="none"/>
              </w:rPr>
            </w:pPr>
            <w:r>
              <w:rPr>
                <w:rFonts w:hint="eastAsia"/>
                <w:color w:val="auto"/>
                <w:highlight w:val="none"/>
              </w:rPr>
              <w:t>本项累计加分最高</w:t>
            </w:r>
            <w:r>
              <w:rPr>
                <w:rFonts w:hint="eastAsia"/>
                <w:color w:val="auto"/>
                <w:highlight w:val="none"/>
                <w:lang w:val="en-US" w:eastAsia="zh-CN"/>
              </w:rPr>
              <w:t>20</w:t>
            </w:r>
            <w:r>
              <w:rPr>
                <w:rFonts w:hint="eastAsia"/>
                <w:color w:val="auto"/>
                <w:highlight w:val="none"/>
              </w:rPr>
              <w:t>分，不重复加分，按较高分只计一次。</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002" w:hRule="atLeast"/>
        </w:trPr>
        <w:tc>
          <w:tcPr>
            <w:tcW w:w="727" w:type="dxa"/>
            <w:vMerge w:val="continue"/>
            <w:tcBorders>
              <w:right w:val="single" w:color="auto" w:sz="4" w:space="0"/>
            </w:tcBorders>
            <w:noWrap w:val="0"/>
            <w:vAlign w:val="center"/>
          </w:tcPr>
          <w:p>
            <w:pPr>
              <w:spacing w:line="360" w:lineRule="auto"/>
              <w:ind w:right="113" w:firstLine="420" w:firstLineChars="200"/>
              <w:rPr>
                <w:color w:val="auto"/>
                <w:highlight w:val="none"/>
              </w:rPr>
            </w:pPr>
          </w:p>
        </w:tc>
        <w:tc>
          <w:tcPr>
            <w:tcW w:w="1202" w:type="dxa"/>
            <w:gridSpan w:val="2"/>
            <w:vMerge w:val="continue"/>
            <w:tcBorders>
              <w:left w:val="single" w:color="auto" w:sz="4" w:space="0"/>
            </w:tcBorders>
            <w:noWrap w:val="0"/>
            <w:vAlign w:val="bottom"/>
          </w:tcPr>
          <w:p>
            <w:pPr>
              <w:pStyle w:val="10"/>
              <w:shd w:val="clear" w:color="auto" w:fill="auto"/>
              <w:spacing w:before="0" w:line="360" w:lineRule="auto"/>
              <w:jc w:val="left"/>
              <w:rPr>
                <w:rFonts w:ascii="宋体" w:hAnsi="宋体" w:cs="宋体"/>
                <w:color w:val="auto"/>
                <w:szCs w:val="21"/>
                <w:highlight w:val="none"/>
              </w:rPr>
            </w:pPr>
          </w:p>
        </w:tc>
        <w:tc>
          <w:tcPr>
            <w:tcW w:w="946" w:type="dxa"/>
            <w:tcBorders>
              <w:right w:val="single" w:color="auto" w:sz="4" w:space="0"/>
            </w:tcBorders>
            <w:noWrap w:val="0"/>
            <w:vAlign w:val="center"/>
          </w:tcPr>
          <w:p>
            <w:pPr>
              <w:spacing w:line="360" w:lineRule="auto"/>
              <w:jc w:val="center"/>
              <w:rPr>
                <w:rFonts w:ascii="宋体" w:hAnsi="宋体" w:cs="宋体"/>
                <w:color w:val="auto"/>
                <w:szCs w:val="21"/>
                <w:highlight w:val="none"/>
              </w:rPr>
            </w:pPr>
            <w:r>
              <w:rPr>
                <w:rFonts w:ascii="宋体" w:hAnsi="宋体"/>
                <w:color w:val="auto"/>
                <w:sz w:val="18"/>
                <w:szCs w:val="18"/>
                <w:highlight w:val="none"/>
              </w:rPr>
              <w:t>履约信誉</w:t>
            </w:r>
          </w:p>
        </w:tc>
        <w:tc>
          <w:tcPr>
            <w:tcW w:w="840" w:type="dxa"/>
            <w:tcBorders>
              <w:left w:val="single" w:color="auto" w:sz="4" w:space="0"/>
            </w:tcBorders>
            <w:noWrap w:val="0"/>
            <w:vAlign w:val="center"/>
          </w:tcPr>
          <w:p>
            <w:pPr>
              <w:spacing w:line="360" w:lineRule="auto"/>
              <w:jc w:val="center"/>
              <w:rPr>
                <w:rFonts w:ascii="宋体" w:hAnsi="宋体" w:cs="宋体"/>
                <w:color w:val="auto"/>
                <w:szCs w:val="21"/>
                <w:highlight w:val="none"/>
              </w:rPr>
            </w:pPr>
            <w:r>
              <w:rPr>
                <w:rFonts w:hint="eastAsia" w:ascii="宋体" w:hAnsi="宋体"/>
                <w:color w:val="auto"/>
                <w:sz w:val="18"/>
                <w:szCs w:val="18"/>
                <w:highlight w:val="none"/>
                <w:lang w:val="en-US" w:eastAsia="zh-CN"/>
              </w:rPr>
              <w:t>15</w:t>
            </w:r>
            <w:r>
              <w:rPr>
                <w:rFonts w:hint="eastAsia" w:ascii="宋体" w:hAnsi="宋体"/>
                <w:color w:val="auto"/>
                <w:sz w:val="18"/>
                <w:szCs w:val="18"/>
                <w:highlight w:val="none"/>
              </w:rPr>
              <w:t>分</w:t>
            </w:r>
          </w:p>
        </w:tc>
        <w:tc>
          <w:tcPr>
            <w:tcW w:w="5357" w:type="dxa"/>
            <w:noWrap w:val="0"/>
            <w:vAlign w:val="top"/>
          </w:tcPr>
          <w:p>
            <w:pPr>
              <w:spacing w:line="360" w:lineRule="auto"/>
              <w:rPr>
                <w:rFonts w:ascii="宋体" w:hAnsi="宋体"/>
                <w:color w:val="auto"/>
                <w:sz w:val="18"/>
                <w:szCs w:val="18"/>
                <w:highlight w:val="none"/>
              </w:rPr>
            </w:pPr>
            <w:r>
              <w:rPr>
                <w:rFonts w:hint="eastAsia" w:ascii="宋体" w:hAnsi="宋体"/>
                <w:color w:val="auto"/>
                <w:sz w:val="18"/>
                <w:szCs w:val="18"/>
                <w:highlight w:val="none"/>
              </w:rPr>
              <w:t>1. 信用等级分值（</w:t>
            </w:r>
            <w:r>
              <w:rPr>
                <w:rFonts w:hint="eastAsia" w:ascii="宋体" w:hAnsi="宋体"/>
                <w:color w:val="auto"/>
                <w:sz w:val="18"/>
                <w:szCs w:val="18"/>
                <w:highlight w:val="none"/>
                <w:lang w:val="en-US" w:eastAsia="zh-CN"/>
              </w:rPr>
              <w:t>10</w:t>
            </w:r>
            <w:r>
              <w:rPr>
                <w:rFonts w:hint="eastAsia" w:ascii="宋体" w:hAnsi="宋体"/>
                <w:color w:val="auto"/>
                <w:sz w:val="18"/>
                <w:szCs w:val="18"/>
                <w:highlight w:val="none"/>
              </w:rPr>
              <w:t>分）</w:t>
            </w:r>
          </w:p>
          <w:p>
            <w:pPr>
              <w:spacing w:line="360" w:lineRule="auto"/>
              <w:ind w:firstLine="450" w:firstLineChars="250"/>
              <w:rPr>
                <w:rFonts w:ascii="宋体" w:hAnsi="宋体"/>
                <w:color w:val="auto"/>
                <w:sz w:val="18"/>
                <w:szCs w:val="18"/>
                <w:highlight w:val="none"/>
              </w:rPr>
            </w:pPr>
            <w:r>
              <w:rPr>
                <w:rFonts w:hint="eastAsia" w:ascii="宋体" w:hAnsi="宋体"/>
                <w:color w:val="auto"/>
                <w:sz w:val="18"/>
                <w:szCs w:val="18"/>
                <w:highlight w:val="none"/>
              </w:rPr>
              <w:t>AA、A、B、C级单位的信用等级分得分分别为</w:t>
            </w:r>
            <w:r>
              <w:rPr>
                <w:rFonts w:ascii="宋体" w:hAnsi="宋体"/>
                <w:color w:val="auto"/>
                <w:sz w:val="18"/>
                <w:szCs w:val="18"/>
                <w:highlight w:val="none"/>
                <w:u w:val="single"/>
              </w:rPr>
              <w:t>10</w:t>
            </w:r>
            <w:r>
              <w:rPr>
                <w:rFonts w:hint="eastAsia" w:ascii="宋体" w:hAnsi="宋体"/>
                <w:color w:val="auto"/>
                <w:sz w:val="18"/>
                <w:szCs w:val="18"/>
                <w:highlight w:val="none"/>
                <w:u w:val="single"/>
              </w:rPr>
              <w:t>、</w:t>
            </w:r>
            <w:r>
              <w:rPr>
                <w:rFonts w:ascii="宋体" w:hAnsi="宋体"/>
                <w:color w:val="auto"/>
                <w:sz w:val="18"/>
                <w:szCs w:val="18"/>
                <w:highlight w:val="none"/>
                <w:u w:val="single"/>
              </w:rPr>
              <w:t>9</w:t>
            </w:r>
            <w:r>
              <w:rPr>
                <w:rFonts w:hint="eastAsia" w:ascii="宋体" w:hAnsi="宋体"/>
                <w:color w:val="auto"/>
                <w:sz w:val="18"/>
                <w:szCs w:val="18"/>
                <w:highlight w:val="none"/>
                <w:u w:val="single"/>
              </w:rPr>
              <w:t>.5、</w:t>
            </w:r>
            <w:r>
              <w:rPr>
                <w:rFonts w:ascii="宋体" w:hAnsi="宋体"/>
                <w:color w:val="auto"/>
                <w:sz w:val="18"/>
                <w:szCs w:val="18"/>
                <w:highlight w:val="none"/>
                <w:u w:val="single"/>
              </w:rPr>
              <w:t>8</w:t>
            </w:r>
            <w:r>
              <w:rPr>
                <w:rFonts w:hint="eastAsia" w:ascii="宋体" w:hAnsi="宋体"/>
                <w:color w:val="auto"/>
                <w:sz w:val="18"/>
                <w:szCs w:val="18"/>
                <w:highlight w:val="none"/>
                <w:u w:val="single"/>
              </w:rPr>
              <w:t>.</w:t>
            </w:r>
            <w:r>
              <w:rPr>
                <w:rFonts w:ascii="宋体" w:hAnsi="宋体"/>
                <w:color w:val="auto"/>
                <w:sz w:val="18"/>
                <w:szCs w:val="18"/>
                <w:highlight w:val="none"/>
                <w:u w:val="single"/>
              </w:rPr>
              <w:t>9</w:t>
            </w:r>
            <w:r>
              <w:rPr>
                <w:rFonts w:hint="eastAsia" w:ascii="宋体" w:hAnsi="宋体"/>
                <w:color w:val="auto"/>
                <w:sz w:val="18"/>
                <w:szCs w:val="18"/>
                <w:highlight w:val="none"/>
                <w:u w:val="single"/>
              </w:rPr>
              <w:t>、</w:t>
            </w:r>
            <w:r>
              <w:rPr>
                <w:rFonts w:ascii="宋体" w:hAnsi="宋体"/>
                <w:color w:val="auto"/>
                <w:sz w:val="18"/>
                <w:szCs w:val="18"/>
                <w:highlight w:val="none"/>
                <w:u w:val="single"/>
              </w:rPr>
              <w:t>7</w:t>
            </w:r>
            <w:r>
              <w:rPr>
                <w:rFonts w:hint="eastAsia" w:ascii="宋体" w:hAnsi="宋体"/>
                <w:color w:val="auto"/>
                <w:sz w:val="18"/>
                <w:szCs w:val="18"/>
                <w:highlight w:val="none"/>
                <w:u w:val="single"/>
              </w:rPr>
              <w:t>.</w:t>
            </w:r>
            <w:r>
              <w:rPr>
                <w:rFonts w:ascii="宋体" w:hAnsi="宋体"/>
                <w:color w:val="auto"/>
                <w:sz w:val="18"/>
                <w:szCs w:val="18"/>
                <w:highlight w:val="none"/>
                <w:u w:val="single"/>
              </w:rPr>
              <w:t>3</w:t>
            </w:r>
            <w:r>
              <w:rPr>
                <w:rFonts w:hint="eastAsia" w:ascii="宋体" w:hAnsi="宋体"/>
                <w:color w:val="auto"/>
                <w:sz w:val="18"/>
                <w:szCs w:val="18"/>
                <w:highlight w:val="none"/>
              </w:rPr>
              <w:t>分。</w:t>
            </w:r>
          </w:p>
          <w:p>
            <w:pPr>
              <w:spacing w:line="360" w:lineRule="auto"/>
              <w:ind w:firstLine="450" w:firstLineChars="250"/>
              <w:rPr>
                <w:rFonts w:ascii="宋体" w:hAnsi="宋体"/>
                <w:color w:val="auto"/>
                <w:sz w:val="18"/>
                <w:szCs w:val="18"/>
                <w:highlight w:val="none"/>
              </w:rPr>
            </w:pPr>
            <w:r>
              <w:rPr>
                <w:rFonts w:hint="eastAsia" w:ascii="宋体" w:hAnsi="宋体"/>
                <w:color w:val="auto"/>
                <w:sz w:val="18"/>
                <w:szCs w:val="18"/>
                <w:highlight w:val="none"/>
              </w:rPr>
              <w:t>注：信用等级的确定原则应遵循投标人须知前附表10.2款的规定。</w:t>
            </w:r>
          </w:p>
          <w:p>
            <w:pPr>
              <w:pStyle w:val="5"/>
              <w:spacing w:line="360" w:lineRule="auto"/>
              <w:rPr>
                <w:rFonts w:hAnsi="宋体"/>
                <w:color w:val="auto"/>
                <w:sz w:val="18"/>
                <w:szCs w:val="18"/>
                <w:highlight w:val="none"/>
              </w:rPr>
            </w:pPr>
            <w:r>
              <w:rPr>
                <w:rFonts w:hint="eastAsia" w:hAnsi="宋体"/>
                <w:color w:val="auto"/>
                <w:sz w:val="18"/>
                <w:szCs w:val="18"/>
                <w:highlight w:val="none"/>
              </w:rPr>
              <w:t>2. 履约情况（</w:t>
            </w:r>
            <w:r>
              <w:rPr>
                <w:rFonts w:hint="eastAsia" w:hAnsi="宋体"/>
                <w:color w:val="auto"/>
                <w:sz w:val="18"/>
                <w:szCs w:val="18"/>
                <w:highlight w:val="none"/>
                <w:u w:val="single"/>
              </w:rPr>
              <w:t xml:space="preserve"> </w:t>
            </w:r>
            <w:r>
              <w:rPr>
                <w:rFonts w:hint="eastAsia" w:hAnsi="宋体"/>
                <w:color w:val="auto"/>
                <w:sz w:val="18"/>
                <w:szCs w:val="18"/>
                <w:highlight w:val="none"/>
                <w:u w:val="single"/>
                <w:lang w:val="en-US" w:eastAsia="zh-CN"/>
              </w:rPr>
              <w:t>5</w:t>
            </w:r>
            <w:r>
              <w:rPr>
                <w:rFonts w:hint="eastAsia" w:hAnsi="宋体"/>
                <w:color w:val="auto"/>
                <w:sz w:val="18"/>
                <w:szCs w:val="18"/>
                <w:highlight w:val="none"/>
              </w:rPr>
              <w:t>分）</w:t>
            </w:r>
          </w:p>
          <w:p>
            <w:pPr>
              <w:pStyle w:val="5"/>
              <w:spacing w:line="360" w:lineRule="auto"/>
              <w:ind w:firstLine="360" w:firstLineChars="200"/>
              <w:rPr>
                <w:rFonts w:hAnsi="宋体"/>
                <w:color w:val="auto"/>
                <w:sz w:val="18"/>
                <w:szCs w:val="18"/>
                <w:highlight w:val="none"/>
              </w:rPr>
            </w:pPr>
            <w:r>
              <w:rPr>
                <w:rFonts w:hint="eastAsia" w:hAnsi="宋体"/>
                <w:color w:val="auto"/>
                <w:sz w:val="18"/>
                <w:szCs w:val="18"/>
                <w:highlight w:val="none"/>
              </w:rPr>
              <w:t>若没出现下述情形得满分；</w:t>
            </w:r>
          </w:p>
          <w:p>
            <w:pPr>
              <w:pStyle w:val="5"/>
              <w:spacing w:line="360" w:lineRule="auto"/>
              <w:ind w:firstLine="363" w:firstLineChars="202"/>
              <w:rPr>
                <w:rFonts w:hAnsi="宋体"/>
                <w:color w:val="auto"/>
                <w:sz w:val="18"/>
                <w:szCs w:val="18"/>
                <w:highlight w:val="none"/>
              </w:rPr>
            </w:pPr>
            <w:r>
              <w:rPr>
                <w:rFonts w:hint="eastAsia" w:hAnsi="宋体"/>
                <w:color w:val="auto"/>
                <w:sz w:val="18"/>
                <w:szCs w:val="18"/>
                <w:highlight w:val="none"/>
                <w:lang w:val="zh-CN"/>
              </w:rPr>
              <w:t>自投标文件递交截止日前1年内，因公路工程（含附属设施）质量、安全、履约或招标投标问题等原因被</w:t>
            </w:r>
            <w:r>
              <w:rPr>
                <w:rFonts w:hint="eastAsia" w:hAnsi="宋体"/>
                <w:color w:val="auto"/>
                <w:sz w:val="18"/>
                <w:szCs w:val="18"/>
                <w:highlight w:val="none"/>
              </w:rPr>
              <w:t>（1）交通运输部通报批评的，扣</w:t>
            </w:r>
            <w:r>
              <w:rPr>
                <w:rFonts w:hint="eastAsia" w:hAnsi="宋体"/>
                <w:color w:val="auto"/>
                <w:sz w:val="18"/>
                <w:szCs w:val="18"/>
                <w:highlight w:val="none"/>
                <w:u w:val="single"/>
              </w:rPr>
              <w:t>5</w:t>
            </w:r>
            <w:r>
              <w:rPr>
                <w:rFonts w:hint="eastAsia" w:hAnsi="宋体"/>
                <w:color w:val="auto"/>
                <w:sz w:val="18"/>
                <w:szCs w:val="18"/>
                <w:highlight w:val="none"/>
              </w:rPr>
              <w:t>分/次；</w:t>
            </w:r>
          </w:p>
          <w:p>
            <w:pPr>
              <w:pStyle w:val="5"/>
              <w:spacing w:line="360" w:lineRule="auto"/>
              <w:ind w:firstLine="7" w:firstLineChars="4"/>
              <w:rPr>
                <w:rFonts w:hAnsi="宋体"/>
                <w:color w:val="auto"/>
                <w:sz w:val="18"/>
                <w:szCs w:val="18"/>
                <w:highlight w:val="none"/>
              </w:rPr>
            </w:pPr>
            <w:r>
              <w:rPr>
                <w:rFonts w:hint="eastAsia" w:hAnsi="宋体"/>
                <w:color w:val="auto"/>
                <w:sz w:val="18"/>
                <w:szCs w:val="18"/>
                <w:highlight w:val="none"/>
              </w:rPr>
              <w:t>（2）广东省交通运输厅通报批评的，扣</w:t>
            </w:r>
            <w:r>
              <w:rPr>
                <w:rFonts w:hint="eastAsia" w:hAnsi="宋体"/>
                <w:color w:val="auto"/>
                <w:sz w:val="18"/>
                <w:szCs w:val="18"/>
                <w:highlight w:val="none"/>
                <w:u w:val="single"/>
              </w:rPr>
              <w:t>4</w:t>
            </w:r>
            <w:r>
              <w:rPr>
                <w:rFonts w:hint="eastAsia" w:hAnsi="宋体"/>
                <w:color w:val="auto"/>
                <w:sz w:val="18"/>
                <w:szCs w:val="18"/>
                <w:highlight w:val="none"/>
              </w:rPr>
              <w:t>分/次；</w:t>
            </w:r>
          </w:p>
          <w:p>
            <w:pPr>
              <w:pStyle w:val="5"/>
              <w:spacing w:line="360" w:lineRule="auto"/>
              <w:ind w:firstLine="7" w:firstLineChars="4"/>
              <w:rPr>
                <w:rFonts w:hAnsi="宋体"/>
                <w:color w:val="auto"/>
                <w:sz w:val="18"/>
                <w:szCs w:val="18"/>
                <w:highlight w:val="none"/>
                <w:u w:val="none"/>
              </w:rPr>
            </w:pPr>
            <w:r>
              <w:rPr>
                <w:rFonts w:hint="eastAsia" w:hAnsi="宋体"/>
                <w:color w:val="auto"/>
                <w:sz w:val="18"/>
                <w:szCs w:val="18"/>
                <w:highlight w:val="none"/>
                <w:u w:val="none"/>
              </w:rPr>
              <w:t>（3</w:t>
            </w:r>
            <w:r>
              <w:rPr>
                <w:rFonts w:hAnsi="宋体"/>
                <w:color w:val="auto"/>
                <w:sz w:val="18"/>
                <w:szCs w:val="18"/>
                <w:highlight w:val="none"/>
                <w:u w:val="none"/>
              </w:rPr>
              <w:t>）</w:t>
            </w:r>
            <w:r>
              <w:rPr>
                <w:rFonts w:hint="eastAsia" w:hAnsi="宋体"/>
                <w:color w:val="auto"/>
                <w:sz w:val="18"/>
                <w:szCs w:val="18"/>
                <w:highlight w:val="none"/>
                <w:u w:val="none"/>
              </w:rPr>
              <w:t>项目所在地地市级交通局（委）、本项目招标人或招标人上级管理单位通报批评的，扣1分/次。</w:t>
            </w:r>
          </w:p>
          <w:p>
            <w:pPr>
              <w:pStyle w:val="5"/>
              <w:spacing w:line="360" w:lineRule="auto"/>
              <w:ind w:firstLine="7" w:firstLineChars="4"/>
              <w:rPr>
                <w:rFonts w:hAnsi="宋体" w:cs="宋体"/>
                <w:color w:val="auto"/>
                <w:szCs w:val="21"/>
                <w:highlight w:val="none"/>
              </w:rPr>
            </w:pPr>
            <w:r>
              <w:rPr>
                <w:rFonts w:hint="eastAsia" w:hAnsi="宋体"/>
                <w:color w:val="auto"/>
                <w:sz w:val="18"/>
                <w:szCs w:val="18"/>
                <w:highlight w:val="none"/>
              </w:rPr>
              <w:t>同一事项同时被多个部门通报批评或处罚只按最高的扣分计算1次。如果扣完本项分值，可以从总分中扣。</w:t>
            </w:r>
          </w:p>
        </w:tc>
      </w:tr>
    </w:tbl>
    <w:p>
      <w:pPr>
        <w:spacing w:line="360" w:lineRule="auto"/>
        <w:outlineLvl w:val="2"/>
        <w:rPr>
          <w:rFonts w:ascii="宋体" w:hAnsi="宋体" w:cs="宋体"/>
          <w:color w:val="auto"/>
          <w:sz w:val="28"/>
          <w:szCs w:val="28"/>
          <w:highlight w:val="none"/>
        </w:rPr>
      </w:pPr>
    </w:p>
    <w:p>
      <w:pPr>
        <w:spacing w:line="360" w:lineRule="auto"/>
        <w:outlineLvl w:val="2"/>
        <w:rPr>
          <w:rFonts w:ascii="宋体" w:hAnsi="宋体" w:cs="宋体"/>
          <w:color w:val="auto"/>
          <w:sz w:val="28"/>
          <w:szCs w:val="28"/>
          <w:highlight w:val="none"/>
        </w:rPr>
        <w:sectPr>
          <w:footnotePr>
            <w:numFmt w:val="decimalEnclosedCircleChinese"/>
            <w:numRestart w:val="eachPage"/>
          </w:footnotePr>
          <w:pgSz w:w="11907" w:h="16840"/>
          <w:pgMar w:top="1440" w:right="1361" w:bottom="1440" w:left="1361" w:header="850" w:footer="850" w:gutter="0"/>
          <w:pgNumType w:fmt="decimal"/>
          <w:cols w:space="720" w:num="1"/>
        </w:sectPr>
      </w:pPr>
    </w:p>
    <w:tbl>
      <w:tblPr>
        <w:tblStyle w:val="7"/>
        <w:tblpPr w:leftFromText="180" w:rightFromText="180" w:vertAnchor="text" w:horzAnchor="page" w:tblpX="1517" w:tblpY="116"/>
        <w:tblOverlap w:val="never"/>
        <w:tblW w:w="907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045"/>
        <w:gridCol w:w="802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55" w:hRule="atLeast"/>
        </w:trPr>
        <w:tc>
          <w:tcPr>
            <w:tcW w:w="9072" w:type="dxa"/>
            <w:gridSpan w:val="2"/>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需要补充的其他内容：</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4497" w:hRule="atLeast"/>
        </w:trPr>
        <w:tc>
          <w:tcPr>
            <w:tcW w:w="1045" w:type="dxa"/>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1</w:t>
            </w:r>
          </w:p>
        </w:tc>
        <w:tc>
          <w:tcPr>
            <w:tcW w:w="8027" w:type="dxa"/>
            <w:tcBorders>
              <w:left w:val="single" w:color="auto" w:sz="4" w:space="0"/>
            </w:tcBorders>
            <w:noWrap w:val="0"/>
            <w:vAlign w:val="center"/>
          </w:tcPr>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将评标办法原文第 1 条“评标方法”改为“评标方法、组织及工作程序”，原文内容修改如下：</w:t>
            </w:r>
          </w:p>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1.评标方法、组织及工作程序</w:t>
            </w:r>
          </w:p>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1.1 评标方法</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本次评标采用双信封的技术评分最低标价法。评标委员会对满足招标文件实质性要求的投标文件，按照本章第 2.2 款规定对通过初步评审的投标人的施工组织设计、主要人员、其他因素等进行评分，按照得分由高到低排序，对排名在招标文件规定数量</w:t>
            </w:r>
            <w:r>
              <w:rPr>
                <w:rFonts w:hint="eastAsia" w:ascii="宋体" w:hAnsi="宋体" w:cs="宋体"/>
                <w:color w:val="auto"/>
                <w:szCs w:val="21"/>
                <w:highlight w:val="none"/>
                <w:u w:val="single"/>
              </w:rPr>
              <w:t>前 5 名（不足 5 名时，按全部实际数量）</w:t>
            </w:r>
            <w:r>
              <w:rPr>
                <w:rFonts w:hint="eastAsia" w:ascii="宋体" w:hAnsi="宋体" w:cs="宋体"/>
                <w:color w:val="auto"/>
                <w:szCs w:val="21"/>
                <w:highlight w:val="none"/>
              </w:rPr>
              <w:t>的投标人的报价文件进行评审，按照评标价由低到高的顺序推荐中标候选人的评标方法。但投标报价低于其成本的除外。评标价相等时，评标委员会应按照评标办法前附表规定的优先次序推荐中标候选人或确定中标人。</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1.2 评标组织 </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1.2.1 协助工作组</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招标人可在评标工作开始前成立协助工作组，选派熟悉招标工作、政治素质高的人员组成，协助评标委员会工作。协助工作组人员的具体数量由招标人视评标工作量确定。</w:t>
            </w:r>
          </w:p>
          <w:p>
            <w:p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招标人可以协助评标委员会开展下列工作并提供相关信息：</w:t>
            </w:r>
            <w:r>
              <w:rPr>
                <w:rFonts w:hint="eastAsia" w:ascii="宋体" w:hAnsi="宋体" w:cs="宋体"/>
                <w:color w:val="auto"/>
                <w:szCs w:val="21"/>
                <w:highlight w:val="none"/>
              </w:rPr>
              <w:cr/>
            </w:r>
            <w:r>
              <w:rPr>
                <w:rFonts w:hint="eastAsia" w:ascii="宋体" w:hAnsi="宋体" w:cs="宋体"/>
                <w:color w:val="auto"/>
                <w:szCs w:val="21"/>
                <w:highlight w:val="none"/>
              </w:rPr>
              <w:t xml:space="preserve">（1）根据招标文件，编制评标使用的相应表格； </w:t>
            </w:r>
          </w:p>
          <w:p>
            <w:pPr>
              <w:numPr>
                <w:ilvl w:val="0"/>
                <w:numId w:val="1"/>
              </w:numPr>
              <w:spacing w:line="360" w:lineRule="auto"/>
              <w:ind w:left="416" w:leftChars="198" w:right="113"/>
              <w:rPr>
                <w:rFonts w:ascii="宋体" w:hAnsi="宋体" w:cs="宋体"/>
                <w:color w:val="auto"/>
                <w:szCs w:val="21"/>
                <w:highlight w:val="none"/>
              </w:rPr>
            </w:pPr>
            <w:r>
              <w:rPr>
                <w:rFonts w:hint="eastAsia" w:ascii="宋体" w:hAnsi="宋体" w:cs="宋体"/>
                <w:color w:val="auto"/>
                <w:szCs w:val="21"/>
                <w:highlight w:val="none"/>
              </w:rPr>
              <w:t>对投标报价进行算术性校核（如采用固化工程量清单，本步骤省略）；</w:t>
            </w:r>
            <w:r>
              <w:rPr>
                <w:rFonts w:hint="eastAsia" w:ascii="宋体" w:hAnsi="宋体" w:cs="宋体"/>
                <w:color w:val="auto"/>
                <w:szCs w:val="21"/>
                <w:highlight w:val="none"/>
              </w:rPr>
              <w:cr/>
            </w:r>
            <w:r>
              <w:rPr>
                <w:rFonts w:hint="eastAsia" w:ascii="宋体" w:hAnsi="宋体" w:cs="宋体"/>
                <w:color w:val="auto"/>
                <w:szCs w:val="21"/>
                <w:highlight w:val="none"/>
              </w:rPr>
              <w:t>（3）以评标标准和方法为依据，列出投标文件相对于招标文件的所有偏差，并进</w:t>
            </w:r>
          </w:p>
          <w:p>
            <w:pPr>
              <w:spacing w:line="360" w:lineRule="auto"/>
              <w:ind w:right="113"/>
              <w:rPr>
                <w:rFonts w:ascii="宋体" w:hAnsi="宋体" w:cs="宋体"/>
                <w:color w:val="auto"/>
                <w:szCs w:val="21"/>
                <w:highlight w:val="none"/>
              </w:rPr>
            </w:pPr>
            <w:r>
              <w:rPr>
                <w:rFonts w:hint="eastAsia" w:ascii="宋体" w:hAnsi="宋体" w:cs="宋体"/>
                <w:color w:val="auto"/>
                <w:szCs w:val="21"/>
                <w:highlight w:val="none"/>
              </w:rPr>
              <w:t>行归类汇总；</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（4）查询公路建设市场信用信息管理系统，对投标人的资质、业绩、主要人员资历和目前在岗情况、信用等级进行核实。</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招标人不得对投标文件作出任何评价，不得故意遗漏或者片面摘录，不得在评标委员会对所有偏差定性之前透露存有偏差的投标人名称。</w:t>
            </w:r>
            <w:r>
              <w:rPr>
                <w:rFonts w:hint="eastAsia" w:ascii="宋体" w:hAnsi="宋体" w:cs="宋体"/>
                <w:color w:val="auto"/>
                <w:szCs w:val="21"/>
                <w:highlight w:val="none"/>
              </w:rPr>
              <w:cr/>
            </w:r>
            <w:r>
              <w:rPr>
                <w:rFonts w:hint="eastAsia" w:ascii="宋体" w:hAnsi="宋体" w:cs="宋体"/>
                <w:color w:val="auto"/>
                <w:szCs w:val="21"/>
                <w:highlight w:val="none"/>
              </w:rPr>
              <w:t xml:space="preserve">    1.2.2 评标委员会</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评标委员会由招标人按国家、广东省等的有关规定依法组建。评标委员会的主要工作内容包括：</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（1）评标委员会开始评标工作之前，首先听取招标人、协助工作组关于工程情况和辅助工作的说明，并认真研读招标文件，获取评标所需的重要信息和数据；</w:t>
            </w:r>
          </w:p>
          <w:p>
            <w:pPr>
              <w:spacing w:line="360" w:lineRule="auto"/>
              <w:ind w:left="630" w:leftChars="200" w:right="113" w:hanging="210" w:hangingChars="100"/>
              <w:rPr>
                <w:rFonts w:ascii="宋体" w:hAnsi="宋体" w:cs="宋体"/>
                <w:color w:val="auto"/>
                <w:szCs w:val="21"/>
                <w:highlight w:val="none"/>
              </w:rPr>
            </w:pPr>
            <w:r>
              <w:rPr>
                <w:rFonts w:hint="eastAsia" w:ascii="宋体" w:hAnsi="宋体" w:cs="宋体"/>
                <w:color w:val="auto"/>
                <w:szCs w:val="21"/>
                <w:highlight w:val="none"/>
              </w:rPr>
              <w:t>（2）对协助工作组提供的评标工作用表和评标内容进行核查；</w:t>
            </w:r>
          </w:p>
          <w:p>
            <w:pPr>
              <w:spacing w:line="360" w:lineRule="auto"/>
              <w:ind w:left="630" w:leftChars="200" w:right="113" w:hanging="210" w:hangingChars="100"/>
              <w:rPr>
                <w:rFonts w:ascii="宋体" w:hAnsi="宋体" w:cs="宋体"/>
                <w:color w:val="auto"/>
                <w:szCs w:val="21"/>
                <w:highlight w:val="none"/>
              </w:rPr>
            </w:pPr>
            <w:r>
              <w:rPr>
                <w:rFonts w:hint="eastAsia" w:ascii="宋体" w:hAnsi="宋体" w:cs="宋体"/>
                <w:color w:val="auto"/>
                <w:szCs w:val="21"/>
                <w:highlight w:val="none"/>
              </w:rPr>
              <w:t>（3）按照以下 1.3 款程序进行各项评审工作。</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1.3 评审工作程序 </w:t>
            </w:r>
          </w:p>
          <w:p>
            <w:pPr>
              <w:numPr>
                <w:ilvl w:val="0"/>
                <w:numId w:val="2"/>
              </w:num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第一信封（商务及技术文件）：</w:t>
            </w:r>
          </w:p>
          <w:p>
            <w:pPr>
              <w:spacing w:line="360" w:lineRule="auto"/>
              <w:ind w:firstLine="420" w:firstLineChars="200"/>
              <w:rPr>
                <w:color w:val="auto"/>
                <w:highlight w:val="none"/>
              </w:rPr>
            </w:pPr>
            <w:r>
              <w:rPr>
                <w:rFonts w:hint="eastAsia"/>
                <w:color w:val="auto"/>
                <w:highlight w:val="none"/>
              </w:rPr>
              <w:t>1、初步评审：包括对投标文件进行形式评审与响应性评审、资格评审（适用于未进行资格预审）；</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2、详细评审（评审打分）：评标委员会首先对通过第一信封初步评审的投标文件进行详细评审，对投标人的施工组织设计、主要人员、其他因素等分别评审打分，并按照综合得分由高到低排序，排名在招标文件规定数量前 5 名（不少于 3 名但不足 5 名的，按全部实际数量）的投标人，其投标文件第一信封（商务及技术文件）通过详细评审。</w:t>
            </w:r>
            <w:r>
              <w:rPr>
                <w:rFonts w:hint="eastAsia" w:ascii="宋体" w:hAnsi="宋体" w:cs="宋体"/>
                <w:color w:val="auto"/>
                <w:szCs w:val="21"/>
                <w:highlight w:val="none"/>
              </w:rPr>
              <w:cr/>
            </w:r>
            <w:r>
              <w:rPr>
                <w:rFonts w:hint="eastAsia" w:ascii="宋体" w:hAnsi="宋体" w:cs="宋体"/>
                <w:color w:val="auto"/>
                <w:szCs w:val="21"/>
                <w:highlight w:val="none"/>
              </w:rPr>
              <w:t xml:space="preserve">    （二）第二信封（报价文件）：</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1、初步评审：</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（1）只有投标文件第一个信封通过详细评审的投标人才能继续参加第二信封报价文件的形式评审与响应性评审；</w:t>
            </w:r>
          </w:p>
          <w:p>
            <w:p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（2）报价算术性修正（如采用固化工程量清单，本步骤省略）；</w:t>
            </w:r>
            <w:r>
              <w:rPr>
                <w:rFonts w:hint="eastAsia" w:ascii="宋体" w:hAnsi="宋体" w:cs="宋体"/>
                <w:color w:val="auto"/>
                <w:szCs w:val="21"/>
                <w:highlight w:val="none"/>
              </w:rPr>
              <w:cr/>
            </w:r>
            <w:r>
              <w:rPr>
                <w:rFonts w:hint="eastAsia" w:ascii="宋体" w:hAnsi="宋体" w:cs="宋体"/>
                <w:color w:val="auto"/>
                <w:szCs w:val="21"/>
                <w:highlight w:val="none"/>
              </w:rPr>
              <w:t>2、详细评审：计算评标价；</w:t>
            </w:r>
            <w:r>
              <w:rPr>
                <w:rFonts w:hint="eastAsia" w:ascii="宋体" w:hAnsi="宋体" w:cs="宋体"/>
                <w:color w:val="auto"/>
                <w:szCs w:val="21"/>
                <w:highlight w:val="none"/>
              </w:rPr>
              <w:cr/>
            </w:r>
            <w:r>
              <w:rPr>
                <w:rFonts w:hint="eastAsia" w:ascii="宋体" w:hAnsi="宋体" w:cs="宋体"/>
                <w:color w:val="auto"/>
                <w:szCs w:val="21"/>
                <w:highlight w:val="none"/>
              </w:rPr>
              <w:t xml:space="preserve">（三）投标文件相关信息的核查。 </w:t>
            </w:r>
          </w:p>
          <w:p>
            <w:pPr>
              <w:spacing w:line="360" w:lineRule="auto"/>
              <w:ind w:left="420" w:leftChars="200" w:right="113"/>
              <w:rPr>
                <w:rFonts w:ascii="宋体" w:hAnsi="宋体" w:cs="宋体"/>
                <w:color w:val="auto"/>
                <w:szCs w:val="21"/>
                <w:highlight w:val="none"/>
              </w:rPr>
            </w:pPr>
            <w:r>
              <w:rPr>
                <w:rFonts w:hint="eastAsia" w:ascii="宋体" w:hAnsi="宋体" w:cs="宋体"/>
                <w:color w:val="auto"/>
                <w:szCs w:val="21"/>
                <w:highlight w:val="none"/>
              </w:rPr>
              <w:t>（四）投标文件的澄清和说明(如有)</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（五）按评标办法规定按照第二信封的评标价由低到高的顺序推荐中标候选人，编写评标报告。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22" w:hRule="atLeast"/>
        </w:trPr>
        <w:tc>
          <w:tcPr>
            <w:tcW w:w="1045" w:type="dxa"/>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3.2.3</w:t>
            </w:r>
          </w:p>
        </w:tc>
        <w:tc>
          <w:tcPr>
            <w:tcW w:w="8027" w:type="dxa"/>
            <w:tcBorders>
              <w:left w:val="single" w:color="auto" w:sz="4" w:space="0"/>
            </w:tcBorders>
            <w:noWrap w:val="0"/>
            <w:vAlign w:val="center"/>
          </w:tcPr>
          <w:p>
            <w:pPr>
              <w:spacing w:line="360" w:lineRule="auto"/>
              <w:ind w:right="113" w:firstLine="420" w:firstLineChars="200"/>
              <w:rPr>
                <w:rFonts w:ascii="宋体" w:hAnsi="宋体" w:cs="宋体"/>
                <w:color w:val="auto"/>
                <w:szCs w:val="21"/>
                <w:highlight w:val="none"/>
              </w:rPr>
            </w:pPr>
            <w:r>
              <w:rPr>
                <w:rFonts w:hint="eastAsia"/>
                <w:color w:val="auto"/>
                <w:highlight w:val="none"/>
              </w:rPr>
              <w:t>将评</w:t>
            </w:r>
            <w:r>
              <w:rPr>
                <w:rFonts w:hint="eastAsia" w:ascii="宋体" w:hAnsi="宋体" w:cs="宋体"/>
                <w:color w:val="auto"/>
                <w:szCs w:val="21"/>
                <w:highlight w:val="none"/>
              </w:rPr>
              <w:t>标办法范本原文第 3.2.3 项细化如下：</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投标人的商务和技术得分=A+B+C。</w:t>
            </w:r>
          </w:p>
          <w:p>
            <w:pPr>
              <w:spacing w:line="360" w:lineRule="auto"/>
              <w:ind w:right="113" w:firstLine="420" w:firstLineChars="200"/>
              <w:rPr>
                <w:color w:val="auto"/>
                <w:highlight w:val="none"/>
              </w:rPr>
            </w:pPr>
            <w:r>
              <w:rPr>
                <w:rFonts w:hint="eastAsia" w:ascii="宋体" w:hAnsi="宋体" w:cs="宋体"/>
                <w:color w:val="auto"/>
                <w:szCs w:val="21"/>
                <w:highlight w:val="none"/>
              </w:rPr>
              <w:t>除履约信誉、技术能力得分外，投标文件各评分因素细分项得分均不应低于其权重分的60%，评分低于权重分值60%的，评标委员会成员应当在评标报告中作出说明。计算投标人技术得分时：首先在评委技术评分中，同一评委对各投标人评分总分的差值最大的评委评分进行取舍（当一位或两位评委评分差值最大时均取消其评委评分，当多于两位评分差值均最大时，不取消任一评委评分），再对各评分因素细分项中取消一个最高、一个最低分后计算算术平均值的和为投标人的最终技术得分，平均值计算四舍五入保留小数点后三位。</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422" w:hRule="atLeast"/>
        </w:trPr>
        <w:tc>
          <w:tcPr>
            <w:tcW w:w="1045" w:type="dxa"/>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3.6</w:t>
            </w:r>
          </w:p>
        </w:tc>
        <w:tc>
          <w:tcPr>
            <w:tcW w:w="8027" w:type="dxa"/>
            <w:tcBorders>
              <w:left w:val="single" w:color="auto" w:sz="4" w:space="0"/>
            </w:tcBorders>
            <w:noWrap w:val="0"/>
            <w:vAlign w:val="center"/>
          </w:tcPr>
          <w:p>
            <w:pPr>
              <w:spacing w:line="360" w:lineRule="auto"/>
              <w:ind w:right="113" w:firstLine="420" w:firstLineChars="200"/>
              <w:rPr>
                <w:rFonts w:ascii="宋体" w:hAnsi="宋体" w:cs="宋体"/>
                <w:color w:val="auto"/>
                <w:szCs w:val="21"/>
                <w:highlight w:val="none"/>
              </w:rPr>
            </w:pPr>
            <w:r>
              <w:rPr>
                <w:color w:val="auto"/>
                <w:highlight w:val="none"/>
              </w:rPr>
              <w:t>增</w:t>
            </w:r>
            <w:r>
              <w:rPr>
                <w:rFonts w:hint="eastAsia" w:ascii="宋体" w:hAnsi="宋体" w:cs="宋体"/>
                <w:color w:val="auto"/>
                <w:szCs w:val="21"/>
                <w:highlight w:val="none"/>
              </w:rPr>
              <w:t>加 3.6.3 项：</w:t>
            </w:r>
          </w:p>
          <w:p>
            <w:pPr>
              <w:spacing w:line="360" w:lineRule="auto"/>
              <w:ind w:right="113" w:firstLine="420" w:firstLineChars="200"/>
              <w:rPr>
                <w:color w:val="auto"/>
                <w:highlight w:val="none"/>
              </w:rPr>
            </w:pPr>
            <w:r>
              <w:rPr>
                <w:rFonts w:hint="eastAsia" w:ascii="宋体" w:hAnsi="宋体" w:cs="宋体"/>
                <w:color w:val="auto"/>
                <w:szCs w:val="21"/>
                <w:highlight w:val="none"/>
              </w:rPr>
              <w:t>3.6.3 依法必须进行招标的项目，除第一中标候选人或者中标人，其他投标人存在串通投标、弄虚作假、行贿情形且在评标过程中未被发现的，视为对中标结果没有造成实质性影响，招标人可以依法继续开展招标活动。投标人的违法行为由行政监督部门依法处理。</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1152" w:hRule="atLeast"/>
        </w:trPr>
        <w:tc>
          <w:tcPr>
            <w:tcW w:w="1045" w:type="dxa"/>
            <w:tcBorders>
              <w:right w:val="single" w:color="auto" w:sz="4" w:space="0"/>
            </w:tcBorders>
            <w:noWrap w:val="0"/>
            <w:vAlign w:val="center"/>
          </w:tcPr>
          <w:p>
            <w:pPr>
              <w:spacing w:line="360" w:lineRule="auto"/>
              <w:ind w:right="113"/>
              <w:jc w:val="center"/>
              <w:rPr>
                <w:rFonts w:ascii="宋体" w:hAnsi="宋体" w:cs="宋体"/>
                <w:color w:val="auto"/>
                <w:szCs w:val="21"/>
                <w:highlight w:val="none"/>
              </w:rPr>
            </w:pPr>
            <w:r>
              <w:rPr>
                <w:rFonts w:hint="eastAsia" w:ascii="宋体" w:hAnsi="宋体" w:cs="宋体"/>
                <w:color w:val="auto"/>
                <w:szCs w:val="21"/>
                <w:highlight w:val="none"/>
              </w:rPr>
              <w:t>3.9</w:t>
            </w:r>
          </w:p>
        </w:tc>
        <w:tc>
          <w:tcPr>
            <w:tcW w:w="8027" w:type="dxa"/>
            <w:tcBorders>
              <w:left w:val="single" w:color="auto" w:sz="4" w:space="0"/>
            </w:tcBorders>
            <w:noWrap w:val="0"/>
            <w:vAlign w:val="center"/>
          </w:tcPr>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增加3.9.3-3.9.6项：</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3.9.3 推荐中标候选人方式：按合同段最高投标限价高低顺序依次选定各合同段中标候选人，如果出现投标人在多个合同段都排名第一，将确定该投标人为最高投标限价较高的合同段的第一中标候选人，同时该投标人自动失去在本次招标中其他合同段的中标候选人资格，其他合同段的综合排名名次高者自动上升为中标候选人，如此类推。</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3.9.4 通过第一信封商务及技术文件评审的投标人少于 3 个的，评标委员会应否决全部投标。</w:t>
            </w:r>
          </w:p>
          <w:p>
            <w:pPr>
              <w:spacing w:line="360" w:lineRule="auto"/>
              <w:ind w:right="113" w:firstLine="420" w:firstLineChars="200"/>
              <w:rPr>
                <w:rFonts w:ascii="宋体" w:hAnsi="宋体" w:cs="宋体"/>
                <w:color w:val="auto"/>
                <w:szCs w:val="21"/>
                <w:highlight w:val="none"/>
              </w:rPr>
            </w:pPr>
            <w:r>
              <w:rPr>
                <w:rFonts w:hint="eastAsia" w:ascii="宋体" w:hAnsi="宋体" w:cs="宋体"/>
                <w:color w:val="auto"/>
                <w:szCs w:val="21"/>
                <w:highlight w:val="none"/>
              </w:rPr>
              <w:t>3.9.5 通过第一信封商务及技术文件评审的投标人在 3 个及以上的，招标人应当按照招标文件规定的程序进行第二信封报价文件开标；在对报价文件进行评审后，有效投标不足 3 个的，评标委员会可以否决全部投标。未否决全部投标的，评标委员会应当在评标报告中阐明理由并推荐中标候选人。</w:t>
            </w:r>
          </w:p>
          <w:p>
            <w:pPr>
              <w:spacing w:line="360" w:lineRule="auto"/>
              <w:ind w:right="113" w:firstLine="420" w:firstLineChars="200"/>
              <w:rPr>
                <w:rFonts w:ascii="宋体" w:hAnsi="宋体" w:eastAsia="Times New Roman" w:cs="宋体"/>
                <w:color w:val="auto"/>
                <w:highlight w:val="none"/>
              </w:rPr>
            </w:pPr>
            <w:r>
              <w:rPr>
                <w:rFonts w:hint="eastAsia" w:ascii="宋体" w:hAnsi="宋体" w:cs="宋体"/>
                <w:color w:val="auto"/>
                <w:szCs w:val="21"/>
                <w:highlight w:val="none"/>
              </w:rPr>
              <w:t>3.9.6 如果发生无法确定推荐中标候选人的其它意外情况，评标委员会可建议招标人重新招标。</w:t>
            </w:r>
          </w:p>
        </w:tc>
      </w:tr>
    </w:tbl>
    <w:p>
      <w:pPr>
        <w:spacing w:line="360" w:lineRule="auto"/>
        <w:outlineLvl w:val="2"/>
        <w:rPr>
          <w:rFonts w:ascii="宋体" w:hAnsi="宋体" w:cs="宋体"/>
          <w:color w:val="auto"/>
          <w:sz w:val="28"/>
          <w:szCs w:val="28"/>
          <w:highlight w:val="none"/>
        </w:rPr>
      </w:pPr>
    </w:p>
    <w:p>
      <w:pPr>
        <w:spacing w:line="360" w:lineRule="auto"/>
        <w:outlineLvl w:val="2"/>
        <w:rPr>
          <w:rFonts w:ascii="宋体" w:hAnsi="宋体" w:cs="宋体"/>
          <w:color w:val="auto"/>
          <w:sz w:val="28"/>
          <w:szCs w:val="28"/>
          <w:highlight w:val="none"/>
        </w:rPr>
        <w:sectPr>
          <w:footnotePr>
            <w:numFmt w:val="decimalEnclosedCircleChinese"/>
            <w:numRestart w:val="eachPage"/>
          </w:footnotePr>
          <w:pgSz w:w="11907" w:h="16840"/>
          <w:pgMar w:top="1440" w:right="1361" w:bottom="1440" w:left="1361" w:header="850" w:footer="850" w:gutter="0"/>
          <w:pgNumType w:fmt="decimal"/>
          <w:cols w:space="720" w:num="1"/>
        </w:sectPr>
      </w:pPr>
    </w:p>
    <w:p>
      <w:pPr>
        <w:rPr>
          <w:rFonts w:hint="eastAsia" w:ascii="宋体" w:hAnsi="宋体" w:cs="宋体"/>
          <w:color w:val="auto"/>
          <w:highlight w:val="none"/>
        </w:rPr>
      </w:pPr>
    </w:p>
    <w:p>
      <w:pPr>
        <w:spacing w:line="360" w:lineRule="auto"/>
        <w:rPr>
          <w:rFonts w:ascii="宋体" w:hAnsi="宋体" w:cs="宋体"/>
          <w:color w:val="auto"/>
          <w:highlight w:val="none"/>
        </w:rPr>
      </w:pPr>
      <w:r>
        <w:rPr>
          <w:rFonts w:hint="eastAsia" w:ascii="宋体" w:hAnsi="宋体" w:cs="宋体"/>
          <w:color w:val="auto"/>
          <w:highlight w:val="none"/>
        </w:rPr>
        <w:t>附件3：投标申请人投标登记提交资料一览表</w:t>
      </w:r>
    </w:p>
    <w:p>
      <w:pPr>
        <w:spacing w:line="360" w:lineRule="auto"/>
        <w:jc w:val="left"/>
        <w:rPr>
          <w:rFonts w:hint="eastAsia" w:ascii="宋体" w:hAnsi="宋体" w:cs="宋体"/>
          <w:b/>
          <w:bCs/>
          <w:color w:val="auto"/>
          <w:sz w:val="24"/>
          <w:highlight w:val="none"/>
          <w:lang w:eastAsia="zh-CN"/>
        </w:rPr>
      </w:pPr>
      <w:r>
        <w:rPr>
          <w:rFonts w:hint="eastAsia" w:ascii="宋体" w:hAnsi="宋体" w:cs="宋体"/>
          <w:b/>
          <w:bCs/>
          <w:color w:val="auto"/>
          <w:sz w:val="24"/>
          <w:highlight w:val="none"/>
        </w:rPr>
        <w:t>工程名称：揭阳市揭东区县道X114线锡场铁路跨线桥危桥改造工程</w:t>
      </w:r>
    </w:p>
    <w:p>
      <w:pPr>
        <w:spacing w:line="360" w:lineRule="auto"/>
        <w:jc w:val="right"/>
        <w:rPr>
          <w:rFonts w:ascii="宋体" w:hAnsi="宋体" w:cs="宋体"/>
          <w:bCs/>
          <w:color w:val="auto"/>
          <w:sz w:val="24"/>
          <w:highlight w:val="none"/>
        </w:rPr>
      </w:pPr>
      <w:r>
        <w:rPr>
          <w:rFonts w:hint="eastAsia" w:ascii="宋体" w:hAnsi="宋体" w:cs="宋体"/>
          <w:color w:val="auto"/>
          <w:spacing w:val="-10"/>
          <w:sz w:val="22"/>
          <w:szCs w:val="22"/>
          <w:highlight w:val="none"/>
        </w:rPr>
        <w:t>投标单位（盖章）：</w:t>
      </w:r>
    </w:p>
    <w:tbl>
      <w:tblPr>
        <w:tblStyle w:val="7"/>
        <w:tblW w:w="9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3"/>
        <w:gridCol w:w="3368"/>
        <w:gridCol w:w="2188"/>
        <w:gridCol w:w="1800"/>
        <w:gridCol w:w="1363"/>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2" w:hRule="atLeast"/>
        </w:trPr>
        <w:tc>
          <w:tcPr>
            <w:tcW w:w="46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b/>
                <w:bCs/>
                <w:color w:val="auto"/>
                <w:sz w:val="18"/>
                <w:szCs w:val="18"/>
                <w:highlight w:val="none"/>
              </w:rPr>
            </w:pPr>
            <w:r>
              <w:rPr>
                <w:rFonts w:hint="eastAsia" w:ascii="宋体" w:hAnsi="宋体" w:cs="宋体"/>
                <w:b/>
                <w:bCs/>
                <w:color w:val="auto"/>
                <w:sz w:val="18"/>
                <w:szCs w:val="18"/>
                <w:highlight w:val="none"/>
              </w:rPr>
              <w:t>序号</w:t>
            </w:r>
          </w:p>
        </w:tc>
        <w:tc>
          <w:tcPr>
            <w:tcW w:w="555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cs="宋体"/>
                <w:color w:val="auto"/>
                <w:sz w:val="18"/>
                <w:szCs w:val="18"/>
                <w:highlight w:val="none"/>
              </w:rPr>
            </w:pPr>
            <w:r>
              <w:rPr>
                <w:rFonts w:hint="eastAsia" w:ascii="宋体" w:hAnsi="宋体" w:cs="宋体"/>
                <w:b/>
                <w:color w:val="auto"/>
                <w:sz w:val="18"/>
                <w:szCs w:val="18"/>
                <w:highlight w:val="none"/>
              </w:rPr>
              <w:t>项目</w:t>
            </w:r>
          </w:p>
        </w:tc>
        <w:tc>
          <w:tcPr>
            <w:tcW w:w="1800" w:type="dxa"/>
            <w:vMerge w:val="restart"/>
            <w:tcBorders>
              <w:top w:val="single" w:color="auto" w:sz="4" w:space="0"/>
              <w:left w:val="single" w:color="auto" w:sz="4" w:space="0"/>
              <w:right w:val="single" w:color="auto" w:sz="4" w:space="0"/>
            </w:tcBorders>
            <w:noWrap w:val="0"/>
            <w:vAlign w:val="center"/>
          </w:tcPr>
          <w:p>
            <w:pPr>
              <w:spacing w:line="240" w:lineRule="exact"/>
              <w:jc w:val="center"/>
              <w:rPr>
                <w:rFonts w:ascii="宋体" w:hAnsi="宋体" w:cs="宋体"/>
                <w:color w:val="auto"/>
                <w:sz w:val="18"/>
                <w:szCs w:val="18"/>
                <w:highlight w:val="none"/>
              </w:rPr>
            </w:pPr>
            <w:r>
              <w:rPr>
                <w:rFonts w:hint="eastAsia" w:ascii="宋体" w:hAnsi="宋体" w:cs="宋体"/>
                <w:b/>
                <w:color w:val="auto"/>
                <w:sz w:val="18"/>
                <w:szCs w:val="18"/>
                <w:highlight w:val="none"/>
              </w:rPr>
              <w:t>提交资料要求</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cs="宋体"/>
                <w:b/>
                <w:bCs/>
                <w:color w:val="auto"/>
                <w:sz w:val="18"/>
                <w:szCs w:val="18"/>
                <w:highlight w:val="none"/>
              </w:rPr>
            </w:pPr>
            <w:r>
              <w:rPr>
                <w:rFonts w:hint="eastAsia" w:ascii="宋体" w:hAnsi="宋体" w:cs="宋体"/>
                <w:b/>
                <w:bCs/>
                <w:color w:val="auto"/>
                <w:sz w:val="18"/>
                <w:szCs w:val="18"/>
                <w:highlight w:val="none"/>
              </w:rPr>
              <w:t>校对情况</w:t>
            </w:r>
          </w:p>
        </w:tc>
        <w:tc>
          <w:tcPr>
            <w:tcW w:w="63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b/>
                <w:bCs/>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5" w:hRule="atLeast"/>
        </w:trPr>
        <w:tc>
          <w:tcPr>
            <w:tcW w:w="463"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c>
          <w:tcPr>
            <w:tcW w:w="555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c>
          <w:tcPr>
            <w:tcW w:w="1800" w:type="dxa"/>
            <w:vMerge w:val="continue"/>
            <w:tcBorders>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b/>
                <w:bCs/>
                <w:color w:val="auto"/>
                <w:sz w:val="18"/>
                <w:szCs w:val="18"/>
                <w:highlight w:val="none"/>
              </w:rPr>
            </w:pPr>
            <w:r>
              <w:rPr>
                <w:rFonts w:hint="eastAsia" w:ascii="宋体" w:hAnsi="宋体" w:cs="宋体"/>
                <w:b/>
                <w:bCs/>
                <w:color w:val="auto"/>
                <w:sz w:val="18"/>
                <w:szCs w:val="18"/>
                <w:highlight w:val="none"/>
              </w:rPr>
              <w:t>此列不需填写</w:t>
            </w:r>
          </w:p>
        </w:tc>
        <w:tc>
          <w:tcPr>
            <w:tcW w:w="638"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1</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广州建设工程投标登记申请表原件(按表格要求填写并加盖公章)</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2</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单位介绍信原件、经办人身份证及其社保证明材料</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3</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企业法定代表人证明书原件、身份证</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4</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企业营业执照副本</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原件备查</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5</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企业资质证书副本</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加盖公章的复印件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r>
              <w:rPr>
                <w:rFonts w:hint="eastAsia" w:ascii="宋体" w:hAnsi="宋体" w:cs="宋体"/>
                <w:color w:val="auto"/>
                <w:sz w:val="18"/>
                <w:szCs w:val="18"/>
                <w:highlight w:val="none"/>
              </w:rPr>
              <w:t>6</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安全生产许可证副本</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原件备查</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r>
              <w:rPr>
                <w:rFonts w:hint="eastAsia" w:ascii="宋体" w:hAnsi="宋体" w:cs="宋体"/>
                <w:color w:val="auto"/>
                <w:sz w:val="18"/>
                <w:szCs w:val="18"/>
                <w:highlight w:val="none"/>
              </w:rPr>
              <w:t>7</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360" w:firstLineChars="200"/>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eastAsia="zh-CN"/>
              </w:rPr>
              <w:t>2018-2020</w:t>
            </w:r>
            <w:r>
              <w:rPr>
                <w:rFonts w:hint="eastAsia" w:ascii="宋体" w:hAnsi="宋体" w:cs="宋体"/>
                <w:color w:val="auto"/>
                <w:sz w:val="18"/>
                <w:szCs w:val="18"/>
                <w:highlight w:val="none"/>
              </w:rPr>
              <w:t>年度财务状况（应附经会计师事务所或审计机构审计的财务会计报表）、“全国公路建设市场信用信息管理系统”财务信息截图</w:t>
            </w:r>
            <w:r>
              <w:rPr>
                <w:rFonts w:hint="eastAsia" w:ascii="宋体" w:hAnsi="宋体" w:cs="宋体"/>
                <w:color w:val="auto"/>
                <w:sz w:val="18"/>
                <w:szCs w:val="18"/>
                <w:highlight w:val="none"/>
                <w:lang w:val="en-US" w:eastAsia="zh-CN"/>
              </w:rPr>
              <w:t xml:space="preserve">  </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原件备查</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4"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eastAsia"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8</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360" w:firstLineChars="200"/>
              <w:rPr>
                <w:rFonts w:hint="eastAsia" w:ascii="宋体" w:hAnsi="宋体" w:cs="宋体"/>
                <w:color w:val="auto"/>
                <w:sz w:val="18"/>
                <w:szCs w:val="18"/>
                <w:highlight w:val="none"/>
                <w:lang w:eastAsia="zh-CN"/>
              </w:rPr>
            </w:pPr>
            <w:r>
              <w:rPr>
                <w:rFonts w:hint="eastAsia" w:ascii="宋体" w:hAnsi="宋体" w:cs="宋体"/>
                <w:color w:val="auto"/>
                <w:sz w:val="18"/>
                <w:szCs w:val="18"/>
                <w:highlight w:val="none"/>
                <w:lang w:eastAsia="zh-CN"/>
              </w:rPr>
              <w:t>“全国公路建设市场信用信息管理系统”业绩网页截图（具体要求详见附录3）</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18"/>
                <w:szCs w:val="18"/>
                <w:highlight w:val="none"/>
              </w:rPr>
            </w:pPr>
            <w:r>
              <w:rPr>
                <w:rFonts w:hint="eastAsia" w:ascii="宋体" w:hAnsi="宋体" w:cs="宋体"/>
                <w:color w:val="auto"/>
                <w:sz w:val="18"/>
                <w:szCs w:val="18"/>
                <w:highlight w:val="none"/>
              </w:rPr>
              <w:t>原件备查</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9</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360" w:firstLineChars="200"/>
              <w:rPr>
                <w:rFonts w:hint="eastAsia" w:ascii="宋体" w:hAnsi="宋体" w:eastAsia="宋体" w:cs="宋体"/>
                <w:color w:val="auto"/>
                <w:kern w:val="2"/>
                <w:sz w:val="18"/>
                <w:szCs w:val="18"/>
                <w:highlight w:val="none"/>
                <w:lang w:val="en-US" w:eastAsia="zh-CN" w:bidi="ar-SA"/>
              </w:rPr>
            </w:pPr>
            <w:r>
              <w:rPr>
                <w:rFonts w:ascii="宋体" w:hAnsi="宋体" w:cs="宋体"/>
                <w:color w:val="auto"/>
                <w:sz w:val="18"/>
                <w:szCs w:val="18"/>
                <w:highlight w:val="none"/>
              </w:rPr>
              <w:t>拟投入项目经理</w:t>
            </w:r>
            <w:r>
              <w:rPr>
                <w:rFonts w:hint="eastAsia" w:ascii="宋体" w:hAnsi="宋体" w:cs="宋体"/>
                <w:color w:val="auto"/>
                <w:sz w:val="18"/>
                <w:szCs w:val="18"/>
                <w:highlight w:val="none"/>
              </w:rPr>
              <w:t>（含备选人）、项目总工（含备选人）</w:t>
            </w:r>
            <w:r>
              <w:rPr>
                <w:rFonts w:ascii="宋体" w:hAnsi="宋体" w:cs="宋体"/>
                <w:color w:val="auto"/>
                <w:sz w:val="18"/>
                <w:szCs w:val="18"/>
                <w:highlight w:val="none"/>
              </w:rPr>
              <w:t>的资格证书、身份证</w:t>
            </w:r>
            <w:r>
              <w:rPr>
                <w:rFonts w:hint="eastAsia" w:ascii="宋体" w:hAnsi="宋体" w:cs="宋体"/>
                <w:color w:val="auto"/>
                <w:sz w:val="18"/>
                <w:szCs w:val="18"/>
                <w:highlight w:val="none"/>
              </w:rPr>
              <w:t>、</w:t>
            </w:r>
            <w:r>
              <w:rPr>
                <w:rFonts w:ascii="宋体" w:hAnsi="宋体" w:cs="宋体"/>
                <w:color w:val="auto"/>
                <w:sz w:val="18"/>
                <w:szCs w:val="18"/>
                <w:highlight w:val="none"/>
              </w:rPr>
              <w:t>社保证明材料</w:t>
            </w:r>
            <w:r>
              <w:rPr>
                <w:rFonts w:hint="eastAsia" w:ascii="宋体" w:hAnsi="宋体" w:cs="宋体"/>
                <w:color w:val="auto"/>
                <w:sz w:val="18"/>
                <w:szCs w:val="18"/>
                <w:highlight w:val="none"/>
              </w:rPr>
              <w:t>以及</w:t>
            </w:r>
            <w:r>
              <w:rPr>
                <w:rFonts w:ascii="宋体" w:hAnsi="宋体" w:cs="宋体"/>
                <w:color w:val="auto"/>
                <w:sz w:val="18"/>
                <w:szCs w:val="18"/>
                <w:highlight w:val="none"/>
              </w:rPr>
              <w:t>“全国公路建设市场信用信息管理系统”网页截图复印件或打印件（具体要求详见附录5）</w:t>
            </w:r>
            <w:r>
              <w:rPr>
                <w:rFonts w:hint="eastAsia" w:ascii="宋体" w:hAnsi="宋体" w:cs="宋体"/>
                <w:color w:val="auto"/>
                <w:sz w:val="18"/>
                <w:szCs w:val="18"/>
                <w:highlight w:val="none"/>
                <w:lang w:val="en-US" w:eastAsia="zh-CN"/>
              </w:rPr>
              <w:t xml:space="preserve"> </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原件备查</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10</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360" w:firstLineChars="200"/>
              <w:rPr>
                <w:rFonts w:ascii="宋体" w:hAnsi="宋体" w:eastAsia="宋体" w:cs="宋体"/>
                <w:color w:val="auto"/>
                <w:kern w:val="2"/>
                <w:sz w:val="18"/>
                <w:szCs w:val="18"/>
                <w:highlight w:val="none"/>
                <w:lang w:val="en-US" w:eastAsia="zh-CN" w:bidi="ar-SA"/>
              </w:rPr>
            </w:pPr>
            <w:r>
              <w:rPr>
                <w:rFonts w:ascii="宋体" w:hAnsi="宋体" w:cs="宋体"/>
                <w:color w:val="auto"/>
                <w:sz w:val="18"/>
                <w:szCs w:val="18"/>
                <w:highlight w:val="none"/>
              </w:rPr>
              <w:t>拟投入</w:t>
            </w:r>
            <w:r>
              <w:rPr>
                <w:rFonts w:hint="eastAsia" w:ascii="宋体" w:hAnsi="宋体" w:cs="宋体"/>
                <w:color w:val="auto"/>
                <w:sz w:val="18"/>
                <w:szCs w:val="18"/>
                <w:highlight w:val="none"/>
                <w:lang w:eastAsia="zh-CN"/>
              </w:rPr>
              <w:t>其他项目管理机构及人员</w:t>
            </w:r>
            <w:r>
              <w:rPr>
                <w:rFonts w:ascii="宋体" w:hAnsi="宋体" w:cs="宋体"/>
                <w:color w:val="auto"/>
                <w:sz w:val="18"/>
                <w:szCs w:val="18"/>
                <w:highlight w:val="none"/>
              </w:rPr>
              <w:t>的</w:t>
            </w:r>
            <w:r>
              <w:rPr>
                <w:rFonts w:hint="eastAsia" w:ascii="宋体" w:hAnsi="宋体" w:cs="宋体"/>
                <w:color w:val="auto"/>
                <w:sz w:val="18"/>
                <w:szCs w:val="18"/>
                <w:highlight w:val="none"/>
              </w:rPr>
              <w:t>相关证件</w:t>
            </w:r>
            <w:r>
              <w:rPr>
                <w:rFonts w:ascii="宋体" w:hAnsi="宋体" w:cs="宋体"/>
                <w:color w:val="auto"/>
                <w:sz w:val="18"/>
                <w:szCs w:val="18"/>
                <w:highlight w:val="none"/>
              </w:rPr>
              <w:t>、身份证</w:t>
            </w:r>
            <w:r>
              <w:rPr>
                <w:rFonts w:hint="eastAsia" w:ascii="宋体" w:hAnsi="宋体" w:cs="宋体"/>
                <w:color w:val="auto"/>
                <w:sz w:val="18"/>
                <w:szCs w:val="18"/>
                <w:highlight w:val="none"/>
              </w:rPr>
              <w:t>、</w:t>
            </w:r>
            <w:r>
              <w:rPr>
                <w:rFonts w:ascii="宋体" w:hAnsi="宋体" w:cs="宋体"/>
                <w:color w:val="auto"/>
                <w:sz w:val="18"/>
                <w:szCs w:val="18"/>
                <w:highlight w:val="none"/>
              </w:rPr>
              <w:t>社保证明材料</w:t>
            </w:r>
            <w:r>
              <w:rPr>
                <w:rFonts w:hint="eastAsia" w:ascii="宋体" w:hAnsi="宋体" w:cs="宋体"/>
                <w:color w:val="auto"/>
                <w:sz w:val="18"/>
                <w:szCs w:val="18"/>
                <w:highlight w:val="none"/>
              </w:rPr>
              <w:t>以及</w:t>
            </w:r>
            <w:r>
              <w:rPr>
                <w:rFonts w:ascii="宋体" w:hAnsi="宋体" w:cs="宋体"/>
                <w:color w:val="auto"/>
                <w:sz w:val="18"/>
                <w:szCs w:val="18"/>
                <w:highlight w:val="none"/>
              </w:rPr>
              <w:t>“全国公路建设市场信用信息管理系统”网页截图复印件或打印件（具体要求详见附录</w:t>
            </w:r>
            <w:r>
              <w:rPr>
                <w:rFonts w:hint="eastAsia" w:ascii="宋体" w:hAnsi="宋体" w:cs="宋体"/>
                <w:color w:val="auto"/>
                <w:sz w:val="18"/>
                <w:szCs w:val="18"/>
                <w:highlight w:val="none"/>
                <w:lang w:val="en-US" w:eastAsia="zh-CN"/>
              </w:rPr>
              <w:t>6</w:t>
            </w:r>
            <w:r>
              <w:rPr>
                <w:rFonts w:ascii="宋体" w:hAnsi="宋体" w:cs="宋体"/>
                <w:color w:val="auto"/>
                <w:sz w:val="18"/>
                <w:szCs w:val="18"/>
                <w:highlight w:val="none"/>
              </w:rPr>
              <w:t>）</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color w:val="auto"/>
                <w:sz w:val="18"/>
                <w:szCs w:val="18"/>
                <w:highlight w:val="none"/>
              </w:rPr>
            </w:pPr>
            <w:r>
              <w:rPr>
                <w:rFonts w:hint="eastAsia" w:ascii="宋体" w:hAnsi="宋体" w:cs="宋体"/>
                <w:color w:val="auto"/>
                <w:sz w:val="18"/>
                <w:szCs w:val="18"/>
                <w:highlight w:val="none"/>
              </w:rPr>
              <w:t>原件备查</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11</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360" w:firstLineChars="200"/>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在“中国裁判文书网”、“国家企业信用信息公示系统”、“信用中国”的查询结果截图</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加盖公章的打印件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12</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诚信投标承诺书（格式见附件</w:t>
            </w:r>
            <w:r>
              <w:rPr>
                <w:rFonts w:hint="eastAsia" w:ascii="宋体" w:hAnsi="宋体" w:cs="宋体"/>
                <w:color w:val="auto"/>
                <w:sz w:val="18"/>
                <w:szCs w:val="18"/>
                <w:highlight w:val="none"/>
                <w:lang w:val="en-US" w:eastAsia="zh-CN"/>
              </w:rPr>
              <w:t>3-1</w:t>
            </w:r>
            <w:r>
              <w:rPr>
                <w:rFonts w:hint="eastAsia" w:ascii="宋体" w:hAnsi="宋体" w:cs="宋体"/>
                <w:color w:val="auto"/>
                <w:sz w:val="18"/>
                <w:szCs w:val="18"/>
                <w:highlight w:val="none"/>
              </w:rPr>
              <w:t>）</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加盖公章的打印件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exact"/>
        </w:trPr>
        <w:tc>
          <w:tcPr>
            <w:tcW w:w="4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hint="default" w:ascii="宋体" w:hAnsi="宋体" w:eastAsia="宋体" w:cs="宋体"/>
                <w:color w:val="auto"/>
                <w:sz w:val="18"/>
                <w:szCs w:val="18"/>
                <w:highlight w:val="none"/>
                <w:lang w:val="en-US" w:eastAsia="zh-CN"/>
              </w:rPr>
            </w:pPr>
            <w:r>
              <w:rPr>
                <w:rFonts w:hint="eastAsia" w:ascii="宋体" w:hAnsi="宋体" w:cs="宋体"/>
                <w:color w:val="auto"/>
                <w:sz w:val="18"/>
                <w:szCs w:val="18"/>
                <w:highlight w:val="none"/>
                <w:lang w:val="en-US" w:eastAsia="zh-CN"/>
              </w:rPr>
              <w:t>13</w:t>
            </w:r>
          </w:p>
        </w:tc>
        <w:tc>
          <w:tcPr>
            <w:tcW w:w="555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广东省以外企业和人员须提供已在“进粤企业和人员诚信信息登记平台”录入相关信息并通过数据规范检查的网页截图</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rPr>
              <w:t>原件</w:t>
            </w:r>
          </w:p>
        </w:tc>
        <w:tc>
          <w:tcPr>
            <w:tcW w:w="136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color w:val="auto"/>
                <w:sz w:val="18"/>
                <w:szCs w:val="18"/>
                <w:highlight w:val="none"/>
              </w:rPr>
            </w:pPr>
          </w:p>
        </w:tc>
        <w:tc>
          <w:tcPr>
            <w:tcW w:w="638"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s="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9820" w:type="dxa"/>
            <w:gridSpan w:val="6"/>
            <w:tcBorders>
              <w:top w:val="single" w:color="auto" w:sz="4" w:space="0"/>
              <w:left w:val="single" w:color="auto" w:sz="4" w:space="0"/>
              <w:bottom w:val="single" w:color="auto" w:sz="4" w:space="0"/>
              <w:right w:val="single" w:color="auto" w:sz="4" w:space="0"/>
            </w:tcBorders>
            <w:noWrap w:val="0"/>
            <w:vAlign w:val="center"/>
          </w:tcPr>
          <w:p>
            <w:pPr>
              <w:tabs>
                <w:tab w:val="left" w:pos="1837"/>
              </w:tabs>
              <w:spacing w:line="240" w:lineRule="exact"/>
              <w:rPr>
                <w:rFonts w:ascii="宋体" w:hAnsi="宋体" w:cs="宋体"/>
                <w:b/>
                <w:bCs/>
                <w:color w:val="auto"/>
                <w:sz w:val="18"/>
                <w:szCs w:val="18"/>
                <w:highlight w:val="none"/>
              </w:rPr>
            </w:pPr>
            <w:r>
              <w:rPr>
                <w:rFonts w:hint="eastAsia" w:ascii="宋体" w:hAnsi="宋体" w:cs="宋体"/>
                <w:b/>
                <w:bCs/>
                <w:color w:val="auto"/>
                <w:sz w:val="18"/>
                <w:szCs w:val="18"/>
                <w:highlight w:val="none"/>
              </w:rPr>
              <w:t>资料确认：招标人或招标代理机构接收资料人员与投标人代表对以上资料共同校对。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383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b/>
                <w:bCs/>
                <w:color w:val="auto"/>
                <w:sz w:val="18"/>
                <w:szCs w:val="18"/>
                <w:highlight w:val="none"/>
              </w:rPr>
            </w:pPr>
            <w:r>
              <w:rPr>
                <w:rFonts w:hint="eastAsia" w:ascii="宋体" w:hAnsi="宋体" w:cs="宋体"/>
                <w:b/>
                <w:bCs/>
                <w:color w:val="auto"/>
                <w:sz w:val="18"/>
                <w:szCs w:val="18"/>
                <w:highlight w:val="none"/>
              </w:rPr>
              <w:t>招标人或招标代理机构接收资料人员签名：</w:t>
            </w:r>
          </w:p>
        </w:tc>
        <w:tc>
          <w:tcPr>
            <w:tcW w:w="2188"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b/>
                <w:bCs/>
                <w:color w:val="auto"/>
                <w:sz w:val="18"/>
                <w:szCs w:val="18"/>
                <w:highlight w:val="none"/>
              </w:rPr>
            </w:pP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b/>
                <w:bCs/>
                <w:color w:val="auto"/>
                <w:sz w:val="18"/>
                <w:szCs w:val="18"/>
                <w:highlight w:val="none"/>
              </w:rPr>
            </w:pPr>
            <w:r>
              <w:rPr>
                <w:rFonts w:hint="eastAsia" w:ascii="宋体" w:hAnsi="宋体" w:cs="宋体"/>
                <w:b/>
                <w:bCs/>
                <w:color w:val="auto"/>
                <w:sz w:val="18"/>
                <w:szCs w:val="18"/>
                <w:highlight w:val="none"/>
              </w:rPr>
              <w:t>投标人代表签名：</w:t>
            </w:r>
          </w:p>
        </w:tc>
        <w:tc>
          <w:tcPr>
            <w:tcW w:w="2001"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cs="宋体"/>
                <w:b/>
                <w:bCs/>
                <w:color w:val="auto"/>
                <w:sz w:val="18"/>
                <w:szCs w:val="18"/>
                <w:highlight w:val="none"/>
              </w:rPr>
            </w:pPr>
          </w:p>
        </w:tc>
      </w:tr>
    </w:tbl>
    <w:p>
      <w:pPr>
        <w:spacing w:line="360" w:lineRule="auto"/>
        <w:rPr>
          <w:rFonts w:ascii="宋体" w:hAnsi="宋体" w:cs="宋体"/>
          <w:bCs/>
          <w:color w:val="auto"/>
          <w:sz w:val="18"/>
          <w:szCs w:val="18"/>
          <w:highlight w:val="none"/>
        </w:rPr>
      </w:pPr>
      <w:r>
        <w:rPr>
          <w:rFonts w:hint="eastAsia" w:ascii="宋体" w:hAnsi="宋体" w:cs="宋体"/>
          <w:bCs/>
          <w:color w:val="auto"/>
          <w:sz w:val="18"/>
          <w:szCs w:val="18"/>
          <w:highlight w:val="none"/>
        </w:rPr>
        <w:t>注：1、本表一式两份，在购买招标文件时缴交，一份由招标人保存，另一份由投标人代表保存。</w:t>
      </w:r>
    </w:p>
    <w:p>
      <w:pPr>
        <w:spacing w:line="360" w:lineRule="auto"/>
        <w:ind w:firstLine="360" w:firstLineChars="200"/>
        <w:rPr>
          <w:rFonts w:ascii="宋体" w:hAnsi="宋体" w:cs="宋体"/>
          <w:bCs/>
          <w:color w:val="auto"/>
          <w:sz w:val="18"/>
          <w:szCs w:val="18"/>
          <w:highlight w:val="none"/>
        </w:rPr>
      </w:pPr>
      <w:r>
        <w:rPr>
          <w:rFonts w:hint="eastAsia" w:ascii="宋体" w:hAnsi="宋体" w:cs="宋体"/>
          <w:bCs/>
          <w:color w:val="auto"/>
          <w:sz w:val="18"/>
          <w:szCs w:val="18"/>
          <w:highlight w:val="none"/>
        </w:rPr>
        <w:t>2、本表原件校对情况栏及备注栏须留空，由招标人或招标代理机构收资料人员校对后填写。</w:t>
      </w:r>
      <w:r>
        <w:rPr>
          <w:rFonts w:hint="eastAsia" w:ascii="宋体" w:hAnsi="宋体" w:cs="宋体"/>
          <w:bCs/>
          <w:color w:val="auto"/>
          <w:sz w:val="18"/>
          <w:szCs w:val="18"/>
          <w:highlight w:val="none"/>
        </w:rPr>
        <w:tab/>
      </w:r>
    </w:p>
    <w:p>
      <w:pPr>
        <w:spacing w:line="360" w:lineRule="auto"/>
        <w:ind w:firstLine="360"/>
        <w:rPr>
          <w:rFonts w:ascii="宋体" w:hAnsi="宋体" w:cs="宋体"/>
          <w:bCs/>
          <w:color w:val="auto"/>
          <w:kern w:val="0"/>
          <w:sz w:val="18"/>
          <w:szCs w:val="18"/>
          <w:highlight w:val="none"/>
        </w:rPr>
      </w:pPr>
      <w:r>
        <w:rPr>
          <w:rFonts w:hint="eastAsia" w:ascii="宋体" w:hAnsi="宋体" w:cs="宋体"/>
          <w:bCs/>
          <w:color w:val="auto"/>
          <w:kern w:val="0"/>
          <w:sz w:val="18"/>
          <w:szCs w:val="18"/>
          <w:highlight w:val="none"/>
        </w:rPr>
        <w:t>3、本表中有修改情况，须经招标人或招标代理机构接收资料的人员和投标单位代表共同签署。</w:t>
      </w:r>
    </w:p>
    <w:p>
      <w:pPr>
        <w:pStyle w:val="2"/>
        <w:spacing w:after="0" w:line="360" w:lineRule="auto"/>
        <w:ind w:firstLine="360" w:firstLineChars="0"/>
        <w:rPr>
          <w:bCs/>
          <w:color w:val="auto"/>
          <w:sz w:val="18"/>
          <w:szCs w:val="18"/>
          <w:highlight w:val="none"/>
        </w:rPr>
        <w:sectPr>
          <w:footnotePr>
            <w:numFmt w:val="decimalEnclosedCircleChinese"/>
            <w:numRestart w:val="eachPage"/>
          </w:footnotePr>
          <w:pgSz w:w="11905" w:h="16838"/>
          <w:pgMar w:top="1247" w:right="1247" w:bottom="1247" w:left="1247" w:header="720" w:footer="907" w:gutter="0"/>
          <w:pgNumType w:fmt="decimal"/>
          <w:cols w:space="720" w:num="1"/>
          <w:rtlGutter w:val="0"/>
          <w:docGrid w:linePitch="0" w:charSpace="0"/>
        </w:sectPr>
      </w:pPr>
      <w:r>
        <w:rPr>
          <w:rFonts w:hint="eastAsia" w:ascii="宋体" w:hAnsi="宋体" w:cs="宋体"/>
          <w:bCs/>
          <w:color w:val="auto"/>
          <w:sz w:val="18"/>
          <w:szCs w:val="18"/>
          <w:highlight w:val="none"/>
        </w:rPr>
        <w:t>4、上表要求提供的资料一式2份，除第1项独立递交外，其余资料按顺序装订成册，除要求提供原件外可提供加盖公章的复印件，</w:t>
      </w:r>
      <w:r>
        <w:rPr>
          <w:rFonts w:hint="eastAsia" w:ascii="宋体" w:hAnsi="宋体" w:eastAsia="宋体" w:cs="宋体"/>
          <w:color w:val="auto"/>
          <w:sz w:val="18"/>
          <w:szCs w:val="18"/>
          <w:highlight w:val="none"/>
          <w:shd w:val="clear" w:color="auto" w:fill="auto"/>
        </w:rPr>
        <w:t>招标人对提供的复印件模糊不清或有异议的，</w:t>
      </w:r>
      <w:r>
        <w:rPr>
          <w:rFonts w:hint="eastAsia" w:ascii="宋体" w:hAnsi="宋体" w:cs="宋体"/>
          <w:bCs/>
          <w:color w:val="auto"/>
          <w:sz w:val="18"/>
          <w:szCs w:val="18"/>
          <w:highlight w:val="none"/>
        </w:rPr>
        <w:t>可要求提供原件现场备查核实（电子证书及可采用二维码识别核查的证书除外）；社保证明材料是指</w:t>
      </w:r>
      <w:r>
        <w:rPr>
          <w:rFonts w:hint="eastAsia" w:ascii="宋体" w:hAnsi="宋体" w:cs="宋体"/>
          <w:bCs/>
          <w:color w:val="auto"/>
          <w:sz w:val="18"/>
          <w:szCs w:val="18"/>
          <w:highlight w:val="none"/>
          <w:lang w:val="en-US" w:eastAsia="zh-CN"/>
        </w:rPr>
        <w:t>投标文件递交截止日前半年时间内连续不少于三个月的</w:t>
      </w:r>
      <w:r>
        <w:rPr>
          <w:rFonts w:hint="eastAsia" w:ascii="宋体" w:hAnsi="宋体" w:cs="宋体"/>
          <w:bCs/>
          <w:color w:val="auto"/>
          <w:sz w:val="18"/>
          <w:szCs w:val="18"/>
          <w:highlight w:val="none"/>
        </w:rPr>
        <w:t>有效的社保证明材料，投标人应提供查询途径供招标人核实；上表资料不齐全或不符合要求者，不予接收。</w:t>
      </w:r>
    </w:p>
    <w:p>
      <w:pPr>
        <w:spacing w:line="360" w:lineRule="auto"/>
        <w:rPr>
          <w:rFonts w:hint="eastAsia" w:ascii="宋体" w:hAnsi="宋体" w:eastAsia="宋体" w:cs="宋体"/>
          <w:b/>
          <w:bCs/>
          <w:color w:val="auto"/>
          <w:sz w:val="21"/>
          <w:szCs w:val="21"/>
          <w:highlight w:val="none"/>
          <w:shd w:val="clear" w:color="auto" w:fill="auto"/>
        </w:rPr>
      </w:pPr>
      <w:r>
        <w:rPr>
          <w:rFonts w:hint="eastAsia" w:ascii="宋体" w:hAnsi="宋体" w:cs="宋体"/>
          <w:color w:val="auto"/>
          <w:highlight w:val="none"/>
        </w:rPr>
        <w:t>附件3</w:t>
      </w:r>
      <w:r>
        <w:rPr>
          <w:rFonts w:hint="eastAsia" w:ascii="宋体" w:hAnsi="宋体" w:cs="宋体"/>
          <w:color w:val="auto"/>
          <w:highlight w:val="none"/>
          <w:lang w:val="en-US" w:eastAsia="zh-CN"/>
        </w:rPr>
        <w:t>-1</w:t>
      </w:r>
      <w:r>
        <w:rPr>
          <w:rFonts w:hint="eastAsia" w:ascii="宋体" w:hAnsi="宋体" w:cs="宋体"/>
          <w:color w:val="auto"/>
          <w:highlight w:val="none"/>
        </w:rPr>
        <w:t>：</w:t>
      </w:r>
      <w:r>
        <w:rPr>
          <w:rFonts w:hint="eastAsia" w:ascii="宋体" w:hAnsi="宋体" w:eastAsia="宋体" w:cs="宋体"/>
          <w:b/>
          <w:bCs/>
          <w:color w:val="auto"/>
          <w:sz w:val="21"/>
          <w:szCs w:val="21"/>
          <w:highlight w:val="none"/>
          <w:shd w:val="clear" w:color="auto" w:fill="auto"/>
        </w:rPr>
        <w:t>诚信投标承诺书</w:t>
      </w:r>
    </w:p>
    <w:p>
      <w:pPr>
        <w:spacing w:line="360" w:lineRule="auto"/>
        <w:outlineLvl w:val="1"/>
        <w:rPr>
          <w:rFonts w:hint="eastAsia" w:ascii="宋体" w:hAnsi="宋体" w:eastAsia="宋体" w:cs="宋体"/>
          <w:color w:val="auto"/>
          <w:sz w:val="21"/>
          <w:szCs w:val="21"/>
          <w:highlight w:val="none"/>
          <w:shd w:val="clear" w:color="auto" w:fill="auto"/>
        </w:rPr>
      </w:pPr>
    </w:p>
    <w:p>
      <w:pPr>
        <w:spacing w:line="360" w:lineRule="auto"/>
        <w:outlineLvl w:val="1"/>
        <w:rPr>
          <w:rFonts w:hint="eastAsia" w:ascii="宋体" w:hAnsi="宋体" w:eastAsia="宋体" w:cs="宋体"/>
          <w:color w:val="auto"/>
          <w:sz w:val="21"/>
          <w:szCs w:val="21"/>
          <w:highlight w:val="none"/>
          <w:u w:val="single"/>
          <w:shd w:val="clear" w:color="auto" w:fill="auto"/>
        </w:rPr>
      </w:pPr>
      <w:bookmarkStart w:id="1" w:name="_Toc28693"/>
      <w:r>
        <w:rPr>
          <w:rFonts w:hint="eastAsia" w:ascii="宋体" w:hAnsi="宋体" w:eastAsia="宋体" w:cs="宋体"/>
          <w:color w:val="auto"/>
          <w:sz w:val="21"/>
          <w:szCs w:val="21"/>
          <w:highlight w:val="none"/>
          <w:shd w:val="clear" w:color="auto" w:fill="auto"/>
        </w:rPr>
        <w:t>（招标人）：</w:t>
      </w:r>
      <w:bookmarkEnd w:id="1"/>
      <w:r>
        <w:rPr>
          <w:rFonts w:hint="eastAsia" w:ascii="宋体" w:hAnsi="宋体" w:eastAsia="宋体" w:cs="宋体"/>
          <w:color w:val="auto"/>
          <w:sz w:val="21"/>
          <w:szCs w:val="21"/>
          <w:highlight w:val="none"/>
          <w:u w:val="single"/>
          <w:shd w:val="clear" w:color="auto" w:fill="auto"/>
        </w:rPr>
        <w:t xml:space="preserve">                     </w:t>
      </w:r>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bookmarkStart w:id="2" w:name="_Toc10924"/>
      <w:r>
        <w:rPr>
          <w:rFonts w:hint="eastAsia" w:ascii="宋体" w:hAnsi="宋体" w:eastAsia="宋体" w:cs="宋体"/>
          <w:color w:val="auto"/>
          <w:sz w:val="21"/>
          <w:szCs w:val="21"/>
          <w:highlight w:val="none"/>
          <w:shd w:val="clear" w:color="auto" w:fill="auto"/>
        </w:rPr>
        <w:t>本人以法定代表人的身份代表本单位郑重承诺：</w:t>
      </w:r>
      <w:bookmarkEnd w:id="2"/>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bookmarkStart w:id="3" w:name="_Toc19990"/>
      <w:r>
        <w:rPr>
          <w:rFonts w:hint="eastAsia" w:ascii="宋体" w:hAnsi="宋体" w:eastAsia="宋体" w:cs="宋体"/>
          <w:color w:val="auto"/>
          <w:sz w:val="21"/>
          <w:szCs w:val="21"/>
          <w:highlight w:val="none"/>
          <w:shd w:val="clear" w:color="auto" w:fill="auto"/>
        </w:rPr>
        <w:t>一、本单位将遵循公开、公正和诚实信用的原则参加</w:t>
      </w:r>
      <w:r>
        <w:rPr>
          <w:rFonts w:hint="eastAsia" w:ascii="宋体" w:hAnsi="宋体" w:eastAsia="宋体" w:cs="宋体"/>
          <w:color w:val="auto"/>
          <w:sz w:val="21"/>
          <w:szCs w:val="21"/>
          <w:highlight w:val="none"/>
          <w:u w:val="single"/>
          <w:shd w:val="clear" w:color="auto" w:fill="auto"/>
        </w:rPr>
        <w:t xml:space="preserve"> </w:t>
      </w:r>
      <w:r>
        <w:rPr>
          <w:rFonts w:hint="eastAsia" w:ascii="宋体" w:hAnsi="宋体" w:eastAsia="宋体" w:cs="宋体"/>
          <w:color w:val="auto"/>
          <w:sz w:val="21"/>
          <w:szCs w:val="21"/>
          <w:highlight w:val="none"/>
          <w:u w:val="single"/>
          <w:shd w:val="clear" w:color="auto" w:fill="auto"/>
          <w:lang w:val="en-US" w:eastAsia="zh-CN"/>
        </w:rPr>
        <w:t xml:space="preserve">  </w:t>
      </w:r>
      <w:r>
        <w:rPr>
          <w:rFonts w:hint="eastAsia" w:ascii="宋体" w:hAnsi="宋体" w:eastAsia="宋体" w:cs="宋体"/>
          <w:color w:val="auto"/>
          <w:sz w:val="21"/>
          <w:szCs w:val="21"/>
          <w:highlight w:val="none"/>
          <w:u w:val="single"/>
          <w:shd w:val="clear" w:color="auto" w:fill="auto"/>
        </w:rPr>
        <w:t>（项目名称）</w:t>
      </w:r>
      <w:r>
        <w:rPr>
          <w:rFonts w:hint="eastAsia" w:ascii="宋体" w:hAnsi="宋体" w:eastAsia="宋体" w:cs="宋体"/>
          <w:color w:val="auto"/>
          <w:sz w:val="21"/>
          <w:szCs w:val="21"/>
          <w:highlight w:val="none"/>
          <w:shd w:val="clear" w:color="auto" w:fill="auto"/>
        </w:rPr>
        <w:t>的投标。</w:t>
      </w:r>
      <w:bookmarkEnd w:id="3"/>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bookmarkStart w:id="4" w:name="_Toc5437"/>
      <w:r>
        <w:rPr>
          <w:rFonts w:hint="eastAsia" w:ascii="宋体" w:hAnsi="宋体" w:eastAsia="宋体" w:cs="宋体"/>
          <w:color w:val="auto"/>
          <w:sz w:val="21"/>
          <w:szCs w:val="21"/>
          <w:highlight w:val="none"/>
          <w:shd w:val="clear" w:color="auto" w:fill="auto"/>
        </w:rPr>
        <w:t>二、本单位所提供的一切资料都是真实、有效、合法的，没有伪（变）造或虚假成分。</w:t>
      </w:r>
      <w:bookmarkEnd w:id="4"/>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bookmarkStart w:id="5" w:name="_Toc27332"/>
      <w:r>
        <w:rPr>
          <w:rFonts w:hint="eastAsia" w:ascii="宋体" w:hAnsi="宋体" w:eastAsia="宋体" w:cs="宋体"/>
          <w:color w:val="auto"/>
          <w:sz w:val="21"/>
          <w:szCs w:val="21"/>
          <w:highlight w:val="none"/>
          <w:shd w:val="clear" w:color="auto" w:fill="auto"/>
        </w:rPr>
        <w:t>三、本单位近三年（自招标公告发布之日上溯）没有发生围标串标、严重违约、重大工程质量问题、重大安全生产事故以及贿赂等违法违规行为。</w:t>
      </w:r>
      <w:bookmarkEnd w:id="5"/>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bookmarkStart w:id="6" w:name="_Toc27557"/>
      <w:r>
        <w:rPr>
          <w:rFonts w:hint="eastAsia" w:ascii="宋体" w:hAnsi="宋体" w:eastAsia="宋体" w:cs="宋体"/>
          <w:color w:val="auto"/>
          <w:sz w:val="21"/>
          <w:szCs w:val="21"/>
          <w:highlight w:val="none"/>
          <w:shd w:val="clear" w:color="auto" w:fill="auto"/>
        </w:rPr>
        <w:t>四、自觉维护招投标市场秩序，不以他人名义投标，不出借、转让、买卖、伪造企业或从业人员的资质证书、证照、业绩、获奖表彰等相关资信证明文件和印章，也不允许其他企业或个人以本单位名义投标。</w:t>
      </w:r>
      <w:bookmarkEnd w:id="6"/>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bookmarkStart w:id="7" w:name="_Toc7504"/>
      <w:r>
        <w:rPr>
          <w:rFonts w:hint="eastAsia" w:ascii="宋体" w:hAnsi="宋体" w:eastAsia="宋体" w:cs="宋体"/>
          <w:color w:val="auto"/>
          <w:sz w:val="21"/>
          <w:szCs w:val="21"/>
          <w:highlight w:val="none"/>
          <w:shd w:val="clear" w:color="auto" w:fill="auto"/>
        </w:rPr>
        <w:t>五、依法公平竞争，不采取虚假或恶意投诉等不正当手段损害、侵犯招标人或其他投标人的正当利益。</w:t>
      </w:r>
      <w:bookmarkEnd w:id="7"/>
    </w:p>
    <w:p>
      <w:pPr>
        <w:spacing w:line="360" w:lineRule="auto"/>
        <w:ind w:firstLine="420" w:firstLineChars="200"/>
        <w:outlineLvl w:val="1"/>
        <w:rPr>
          <w:rFonts w:hint="eastAsia" w:ascii="宋体" w:hAnsi="宋体" w:eastAsia="宋体" w:cs="宋体"/>
          <w:color w:val="auto"/>
          <w:highlight w:val="none"/>
          <w:shd w:val="clear" w:color="auto" w:fill="auto"/>
        </w:rPr>
      </w:pPr>
      <w:bookmarkStart w:id="8" w:name="_Toc22681"/>
      <w:bookmarkStart w:id="9" w:name="_Toc26700"/>
      <w:r>
        <w:rPr>
          <w:rFonts w:hint="eastAsia" w:ascii="宋体" w:hAnsi="宋体" w:eastAsia="宋体" w:cs="宋体"/>
          <w:color w:val="auto"/>
          <w:sz w:val="21"/>
          <w:szCs w:val="21"/>
          <w:highlight w:val="none"/>
          <w:shd w:val="clear" w:color="auto" w:fill="auto"/>
        </w:rPr>
        <w:t>六、保证参加投标的建造师</w:t>
      </w:r>
      <w:r>
        <w:rPr>
          <w:rFonts w:hint="eastAsia" w:ascii="宋体" w:hAnsi="宋体" w:eastAsia="宋体" w:cs="宋体"/>
          <w:color w:val="auto"/>
          <w:sz w:val="21"/>
          <w:szCs w:val="21"/>
          <w:highlight w:val="none"/>
          <w:u w:val="single"/>
          <w:shd w:val="clear" w:color="auto" w:fill="auto"/>
          <w:lang w:val="en-US" w:eastAsia="zh-CN"/>
        </w:rPr>
        <w:t xml:space="preserve">        </w:t>
      </w:r>
      <w:r>
        <w:rPr>
          <w:rFonts w:hint="eastAsia" w:ascii="宋体" w:hAnsi="宋体" w:eastAsia="宋体" w:cs="宋体"/>
          <w:color w:val="auto"/>
          <w:sz w:val="21"/>
          <w:szCs w:val="21"/>
          <w:highlight w:val="none"/>
          <w:u w:val="none"/>
          <w:shd w:val="clear" w:color="auto" w:fill="auto"/>
          <w:lang w:val="en-US" w:eastAsia="zh-CN"/>
        </w:rPr>
        <w:t>（姓名、注册证号）</w:t>
      </w:r>
      <w:r>
        <w:rPr>
          <w:rFonts w:hint="eastAsia" w:ascii="宋体" w:hAnsi="宋体" w:eastAsia="宋体" w:cs="宋体"/>
          <w:color w:val="auto"/>
          <w:sz w:val="21"/>
          <w:szCs w:val="21"/>
          <w:highlight w:val="none"/>
          <w:shd w:val="clear" w:color="auto" w:fill="auto"/>
        </w:rPr>
        <w:t>没有在其他在建工程中担任项目负责人，</w:t>
      </w:r>
      <w:r>
        <w:rPr>
          <w:rFonts w:hint="eastAsia" w:ascii="宋体" w:hAnsi="宋体" w:eastAsia="宋体" w:cs="宋体"/>
          <w:color w:val="auto"/>
          <w:highlight w:val="none"/>
          <w:shd w:val="clear" w:color="auto" w:fill="auto"/>
        </w:rPr>
        <w:t>如</w:t>
      </w:r>
      <w:r>
        <w:rPr>
          <w:rFonts w:hint="eastAsia" w:ascii="宋体" w:hAnsi="宋体" w:eastAsia="宋体" w:cs="宋体"/>
          <w:color w:val="auto"/>
          <w:highlight w:val="none"/>
          <w:shd w:val="clear" w:color="auto" w:fill="auto"/>
          <w:lang w:eastAsia="zh-CN"/>
        </w:rPr>
        <w:t>在</w:t>
      </w:r>
      <w:r>
        <w:rPr>
          <w:rFonts w:hint="eastAsia" w:ascii="宋体" w:hAnsi="宋体" w:eastAsia="宋体" w:cs="宋体"/>
          <w:color w:val="auto"/>
          <w:highlight w:val="none"/>
          <w:shd w:val="clear" w:color="auto" w:fill="auto"/>
        </w:rPr>
        <w:t>相关网站载明建造师曾有在建工程信息的，我司在</w:t>
      </w:r>
      <w:r>
        <w:rPr>
          <w:rFonts w:hint="eastAsia" w:ascii="宋体" w:hAnsi="宋体" w:eastAsia="宋体" w:cs="宋体"/>
          <w:color w:val="auto"/>
          <w:highlight w:val="none"/>
          <w:shd w:val="clear" w:color="auto" w:fill="auto"/>
          <w:lang w:eastAsia="zh-CN"/>
        </w:rPr>
        <w:t>招投标过程（包括投标登记阶段）中按招标人或招标代理机构要求</w:t>
      </w:r>
      <w:r>
        <w:rPr>
          <w:rFonts w:hint="eastAsia" w:ascii="宋体" w:hAnsi="宋体" w:eastAsia="宋体" w:cs="宋体"/>
          <w:color w:val="auto"/>
          <w:szCs w:val="21"/>
          <w:highlight w:val="none"/>
          <w:shd w:val="clear" w:color="auto" w:fill="auto"/>
        </w:rPr>
        <w:t>提供该项目的相关竣工验收资料</w:t>
      </w:r>
      <w:r>
        <w:rPr>
          <w:rFonts w:hint="eastAsia" w:ascii="宋体" w:hAnsi="宋体" w:eastAsia="宋体" w:cs="宋体"/>
          <w:color w:val="auto"/>
          <w:szCs w:val="21"/>
          <w:highlight w:val="none"/>
          <w:shd w:val="clear" w:color="auto" w:fill="auto"/>
          <w:lang w:eastAsia="zh-CN"/>
        </w:rPr>
        <w:t>原件</w:t>
      </w:r>
      <w:r>
        <w:rPr>
          <w:rFonts w:hint="eastAsia" w:ascii="宋体" w:hAnsi="宋体" w:eastAsia="宋体" w:cs="宋体"/>
          <w:color w:val="auto"/>
          <w:szCs w:val="21"/>
          <w:highlight w:val="none"/>
          <w:shd w:val="clear" w:color="auto" w:fill="auto"/>
          <w:lang w:val="en-US" w:eastAsia="zh-CN"/>
        </w:rPr>
        <w:t>(</w:t>
      </w:r>
      <w:r>
        <w:rPr>
          <w:rFonts w:hint="eastAsia" w:ascii="宋体" w:hAnsi="宋体" w:eastAsia="宋体" w:cs="宋体"/>
          <w:color w:val="auto"/>
          <w:szCs w:val="21"/>
          <w:highlight w:val="none"/>
          <w:shd w:val="clear" w:color="auto" w:fill="auto"/>
        </w:rPr>
        <w:t>若</w:t>
      </w:r>
      <w:r>
        <w:rPr>
          <w:rFonts w:hint="eastAsia" w:ascii="宋体" w:hAnsi="宋体" w:eastAsia="宋体" w:cs="宋体"/>
          <w:color w:val="auto"/>
          <w:highlight w:val="none"/>
          <w:shd w:val="clear" w:color="auto" w:fill="auto"/>
        </w:rPr>
        <w:t>项目经理在合同履约期间变更的，则同时提供相关变更手续及报相关部门进行网上变更证明</w:t>
      </w:r>
      <w:r>
        <w:rPr>
          <w:rFonts w:hint="eastAsia" w:ascii="宋体" w:hAnsi="宋体" w:eastAsia="宋体" w:cs="宋体"/>
          <w:color w:val="auto"/>
          <w:szCs w:val="21"/>
          <w:highlight w:val="none"/>
          <w:shd w:val="clear" w:color="auto" w:fill="auto"/>
          <w:lang w:val="en-US" w:eastAsia="zh-CN"/>
        </w:rPr>
        <w:t>)</w:t>
      </w:r>
      <w:r>
        <w:rPr>
          <w:rFonts w:hint="eastAsia" w:ascii="宋体" w:hAnsi="宋体" w:eastAsia="宋体" w:cs="宋体"/>
          <w:color w:val="auto"/>
          <w:highlight w:val="none"/>
          <w:shd w:val="clear" w:color="auto" w:fill="auto"/>
        </w:rPr>
        <w:t>。</w:t>
      </w:r>
      <w:bookmarkEnd w:id="8"/>
    </w:p>
    <w:p>
      <w:pPr>
        <w:spacing w:line="360" w:lineRule="auto"/>
        <w:ind w:firstLine="420" w:firstLineChars="200"/>
        <w:outlineLvl w:val="1"/>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rPr>
        <w:t>本单位如违反上述承诺内容，愿意按约定接受行政监管部门的处理。</w:t>
      </w:r>
      <w:bookmarkEnd w:id="9"/>
    </w:p>
    <w:p>
      <w:pPr>
        <w:spacing w:line="360" w:lineRule="auto"/>
        <w:ind w:firstLine="420" w:firstLineChars="200"/>
        <w:rPr>
          <w:rFonts w:hint="eastAsia" w:ascii="宋体" w:hAnsi="宋体" w:eastAsia="宋体" w:cs="宋体"/>
          <w:color w:val="auto"/>
          <w:sz w:val="21"/>
          <w:szCs w:val="21"/>
          <w:highlight w:val="none"/>
          <w:shd w:val="clear" w:color="auto" w:fill="auto"/>
        </w:rPr>
      </w:pPr>
    </w:p>
    <w:p>
      <w:pPr>
        <w:spacing w:line="360" w:lineRule="auto"/>
        <w:ind w:firstLine="5460" w:firstLineChars="2600"/>
        <w:outlineLvl w:val="1"/>
        <w:rPr>
          <w:rFonts w:hint="eastAsia" w:ascii="宋体" w:hAnsi="宋体" w:eastAsia="宋体" w:cs="宋体"/>
          <w:color w:val="auto"/>
          <w:sz w:val="21"/>
          <w:szCs w:val="21"/>
          <w:highlight w:val="none"/>
          <w:shd w:val="clear" w:color="auto" w:fill="auto"/>
        </w:rPr>
      </w:pPr>
    </w:p>
    <w:p>
      <w:pPr>
        <w:spacing w:line="500" w:lineRule="exact"/>
        <w:jc w:val="left"/>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 xml:space="preserve">投标申请人名称：（盖章）          </w:t>
      </w:r>
      <w:r>
        <w:rPr>
          <w:rFonts w:hint="eastAsia" w:ascii="宋体" w:hAnsi="宋体" w:eastAsia="宋体" w:cs="宋体"/>
          <w:color w:val="auto"/>
          <w:highlight w:val="none"/>
          <w:shd w:val="clear" w:color="auto" w:fill="auto"/>
          <w:lang w:val="en-US" w:eastAsia="zh-CN"/>
        </w:rPr>
        <w:t xml:space="preserve">             </w:t>
      </w:r>
      <w:r>
        <w:rPr>
          <w:rFonts w:hint="eastAsia" w:ascii="宋体" w:hAnsi="宋体" w:cs="宋体"/>
          <w:color w:val="auto"/>
          <w:highlight w:val="none"/>
          <w:shd w:val="clear" w:color="auto" w:fill="auto"/>
          <w:lang w:val="en-US" w:eastAsia="zh-CN"/>
        </w:rPr>
        <w:t xml:space="preserve">   招标人</w:t>
      </w:r>
      <w:r>
        <w:rPr>
          <w:rFonts w:hint="eastAsia" w:ascii="宋体" w:hAnsi="宋体" w:eastAsia="宋体" w:cs="宋体"/>
          <w:color w:val="auto"/>
          <w:highlight w:val="none"/>
          <w:shd w:val="clear" w:color="auto" w:fill="auto"/>
        </w:rPr>
        <w:t xml:space="preserve">：（盖章） </w:t>
      </w:r>
    </w:p>
    <w:p>
      <w:pPr>
        <w:spacing w:line="500" w:lineRule="exact"/>
        <w:jc w:val="left"/>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t>法定代表人（签字）：</w:t>
      </w:r>
    </w:p>
    <w:p>
      <w:pPr>
        <w:spacing w:line="500" w:lineRule="exact"/>
        <w:jc w:val="left"/>
        <w:rPr>
          <w:rFonts w:hint="eastAsia" w:ascii="宋体" w:hAnsi="宋体" w:eastAsia="宋体" w:cs="宋体"/>
          <w:color w:val="auto"/>
          <w:highlight w:val="none"/>
          <w:shd w:val="clear" w:color="auto" w:fill="auto"/>
        </w:rPr>
      </w:pPr>
    </w:p>
    <w:p>
      <w:pPr>
        <w:pStyle w:val="4"/>
        <w:bidi w:val="0"/>
        <w:jc w:val="left"/>
        <w:rPr>
          <w:rFonts w:hint="eastAsia" w:ascii="宋体" w:hAnsi="宋体" w:eastAsia="宋体" w:cs="宋体"/>
          <w:b w:val="0"/>
          <w:color w:val="auto"/>
          <w:kern w:val="2"/>
          <w:sz w:val="21"/>
          <w:szCs w:val="21"/>
          <w:highlight w:val="none"/>
          <w:shd w:val="clear" w:color="auto" w:fill="auto"/>
          <w:lang w:val="en-US" w:eastAsia="zh-CN" w:bidi="ar-SA"/>
        </w:rPr>
      </w:pPr>
      <w:r>
        <w:rPr>
          <w:rFonts w:hint="eastAsia" w:ascii="宋体" w:hAnsi="宋体" w:eastAsia="宋体" w:cs="宋体"/>
          <w:color w:val="auto"/>
          <w:highlight w:val="none"/>
          <w:shd w:val="clear" w:color="auto" w:fill="auto"/>
          <w:lang w:val="en-US" w:eastAsia="zh-CN"/>
        </w:rPr>
        <w:t xml:space="preserve"> </w:t>
      </w:r>
      <w:bookmarkStart w:id="10" w:name="_Toc16304"/>
      <w:r>
        <w:rPr>
          <w:rFonts w:hint="eastAsia" w:ascii="宋体" w:hAnsi="宋体" w:eastAsia="宋体" w:cs="宋体"/>
          <w:color w:val="auto"/>
          <w:highlight w:val="none"/>
          <w:shd w:val="clear" w:color="auto" w:fill="auto"/>
          <w:lang w:val="en-US" w:eastAsia="zh-CN"/>
        </w:rPr>
        <w:t xml:space="preserve">    </w:t>
      </w:r>
      <w:r>
        <w:rPr>
          <w:rFonts w:hint="eastAsia" w:ascii="宋体" w:hAnsi="宋体" w:eastAsia="宋体" w:cs="宋体"/>
          <w:b w:val="0"/>
          <w:color w:val="auto"/>
          <w:kern w:val="2"/>
          <w:sz w:val="21"/>
          <w:szCs w:val="21"/>
          <w:highlight w:val="none"/>
          <w:shd w:val="clear" w:color="auto" w:fill="auto"/>
          <w:lang w:val="en-US" w:eastAsia="zh-CN" w:bidi="ar-SA"/>
        </w:rPr>
        <w:t>年     月     日</w:t>
      </w:r>
      <w:bookmarkEnd w:id="10"/>
    </w:p>
    <w:p>
      <w:pPr>
        <w:pStyle w:val="2"/>
      </w:pPr>
      <w:bookmarkStart w:id="11" w:name="_GoBack"/>
      <w:bookmarkEnd w:id="1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GRAENB+TimesNewRomanPSMT">
    <w:altName w:val="Segoe Print"/>
    <w:panose1 w:val="02020603050405020304"/>
    <w:charset w:val="01"/>
    <w:family w:val="roman"/>
    <w:pitch w:val="default"/>
    <w:sig w:usb0="00000000" w:usb1="00000000" w:usb2="01010101" w:usb3="01010101" w:csb0="01010101" w:csb1="01010101"/>
  </w:font>
  <w:font w:name="Segoe Print">
    <w:panose1 w:val="02000600000000000000"/>
    <w:charset w:val="00"/>
    <w:family w:val="auto"/>
    <w:pitch w:val="default"/>
    <w:sig w:usb0="0000028F" w:usb1="00000000" w:usb2="00000000" w:usb3="00000000" w:csb0="2000009F" w:csb1="47010000"/>
  </w:font>
  <w:font w:name="MingLiU">
    <w:panose1 w:val="02020509000000000000"/>
    <w:charset w:val="88"/>
    <w:family w:val="modern"/>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14D134"/>
    <w:multiLevelType w:val="singleLevel"/>
    <w:tmpl w:val="0714D134"/>
    <w:lvl w:ilvl="0" w:tentative="0">
      <w:start w:val="1"/>
      <w:numFmt w:val="chineseCounting"/>
      <w:suff w:val="nothing"/>
      <w:lvlText w:val="（%1）"/>
      <w:lvlJc w:val="left"/>
      <w:rPr>
        <w:rFonts w:hint="eastAsia"/>
      </w:rPr>
    </w:lvl>
  </w:abstractNum>
  <w:abstractNum w:abstractNumId="1">
    <w:nsid w:val="6109AD52"/>
    <w:multiLevelType w:val="singleLevel"/>
    <w:tmpl w:val="6109AD5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7603F2"/>
    <w:rsid w:val="41BC19F4"/>
    <w:rsid w:val="64760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qFormat/>
    <w:uiPriority w:val="0"/>
    <w:pPr>
      <w:keepNext/>
      <w:keepLines/>
      <w:overflowPunct w:val="0"/>
      <w:topLinePunct/>
      <w:adjustRightInd w:val="0"/>
      <w:snapToGrid w:val="0"/>
      <w:spacing w:line="360" w:lineRule="auto"/>
      <w:jc w:val="center"/>
      <w:outlineLvl w:val="1"/>
    </w:pPr>
    <w:rPr>
      <w:rFonts w:ascii="黑体" w:hAnsi="黑体" w:eastAsia="黑体" w:cs="宋体"/>
      <w:b/>
      <w:color w:val="000000"/>
      <w:sz w:val="30"/>
      <w:szCs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left="0" w:leftChars="0" w:firstLine="960" w:firstLineChars="200"/>
    </w:pPr>
    <w:rPr>
      <w:kern w:val="0"/>
      <w:sz w:val="24"/>
      <w:szCs w:val="20"/>
    </w:rPr>
  </w:style>
  <w:style w:type="paragraph" w:styleId="3">
    <w:name w:val="Body Text Indent"/>
    <w:basedOn w:val="1"/>
    <w:qFormat/>
    <w:uiPriority w:val="0"/>
    <w:pPr>
      <w:spacing w:after="120"/>
      <w:ind w:left="420" w:leftChars="200"/>
    </w:pPr>
  </w:style>
  <w:style w:type="paragraph" w:styleId="5">
    <w:name w:val="Plain Text"/>
    <w:basedOn w:val="1"/>
    <w:qFormat/>
    <w:uiPriority w:val="0"/>
    <w:rPr>
      <w:rFonts w:ascii="宋体" w:hAnsi="Courier New"/>
      <w:color w:val="000000"/>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Normal_77"/>
    <w:qFormat/>
    <w:uiPriority w:val="0"/>
    <w:pPr>
      <w:spacing w:before="120" w:after="240"/>
      <w:jc w:val="both"/>
    </w:pPr>
    <w:rPr>
      <w:rFonts w:ascii="Calibri" w:hAnsi="Calibri" w:eastAsia="Times New Roman" w:cs="Times New Roman"/>
      <w:sz w:val="22"/>
      <w:szCs w:val="22"/>
      <w:lang w:val="en-US" w:eastAsia="en-US" w:bidi="ar-SA"/>
    </w:rPr>
  </w:style>
  <w:style w:type="paragraph" w:customStyle="1" w:styleId="10">
    <w:name w:val="正文文本 (2)1"/>
    <w:qFormat/>
    <w:uiPriority w:val="99"/>
    <w:pPr>
      <w:widowControl w:val="0"/>
      <w:shd w:val="clear" w:color="auto" w:fill="FFFFFF"/>
      <w:spacing w:before="300" w:line="439" w:lineRule="exact"/>
      <w:jc w:val="distribute"/>
    </w:pPr>
    <w:rPr>
      <w:rFonts w:ascii="MingLiU" w:hAnsi="Calibri" w:eastAsia="MingLiU" w:cs="Times New Roman"/>
      <w:spacing w:val="20"/>
      <w:sz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2085</Words>
  <Characters>2104</Characters>
  <Lines>0</Lines>
  <Paragraphs>0</Paragraphs>
  <TotalTime>0</TotalTime>
  <ScaleCrop>false</ScaleCrop>
  <LinksUpToDate>false</LinksUpToDate>
  <CharactersWithSpaces>2174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2022-04-02T01:19:00Z</dcterms:created>
  <dc:creator>Administrator</dc:creator>
  <cp:lastModifiedBy>Administrator</cp:lastModifiedBy>
  <dcterms:modified xsi:type="dcterms:W3CDTF">2022-04-02T01:23:58Z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C8EB4E2396FC416D96875823B79E81C7</vt:lpwstr>
  </property>
</Properties>
</file>