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outlineLvl w:val="2"/>
        <w:rPr>
          <w:rFonts w:hint="eastAsia" w:ascii="宋体" w:hAnsi="宋体" w:eastAsia="宋体" w:cs="宋体"/>
          <w:b/>
          <w:bCs/>
          <w:color w:val="auto"/>
          <w:highlight w:val="none"/>
          <w:lang w:eastAsia="zh-CN"/>
        </w:rPr>
      </w:pPr>
      <w:r>
        <w:rPr>
          <w:rFonts w:hint="eastAsia" w:ascii="宋体" w:hAnsi="宋体" w:cs="宋体"/>
          <w:b/>
          <w:bCs/>
          <w:color w:val="auto"/>
          <w:highlight w:val="none"/>
          <w:lang w:eastAsia="zh-CN"/>
        </w:rPr>
        <w:t>附件</w:t>
      </w:r>
      <w:r>
        <w:rPr>
          <w:rFonts w:hint="eastAsia" w:ascii="宋体" w:hAnsi="宋体" w:cs="宋体"/>
          <w:b/>
          <w:bCs/>
          <w:color w:val="auto"/>
          <w:highlight w:val="none"/>
          <w:lang w:val="en-US" w:eastAsia="zh-CN"/>
        </w:rPr>
        <w:t>1：</w:t>
      </w:r>
      <w:r>
        <w:rPr>
          <w:rFonts w:hint="eastAsia" w:ascii="宋体" w:hAnsi="宋体" w:cs="宋体"/>
          <w:b/>
          <w:bCs/>
          <w:color w:val="auto"/>
          <w:highlight w:val="none"/>
        </w:rPr>
        <w:t>资格审查条件附录1—</w:t>
      </w:r>
      <w:r>
        <w:rPr>
          <w:rFonts w:hint="eastAsia" w:ascii="宋体" w:hAnsi="宋体" w:cs="宋体"/>
          <w:b/>
          <w:bCs/>
          <w:color w:val="auto"/>
          <w:highlight w:val="none"/>
          <w:lang w:eastAsia="zh-CN"/>
        </w:rPr>
        <w:t>附录7</w:t>
      </w:r>
    </w:p>
    <w:p>
      <w:pPr>
        <w:spacing w:line="360" w:lineRule="auto"/>
        <w:jc w:val="left"/>
        <w:rPr>
          <w:rFonts w:ascii="宋体" w:hAnsi="宋体" w:cs="宋体"/>
          <w:b/>
          <w:bCs/>
          <w:color w:val="auto"/>
          <w:highlight w:val="none"/>
        </w:rPr>
      </w:pPr>
    </w:p>
    <w:p>
      <w:pPr>
        <w:spacing w:after="120" w:afterLines="50"/>
        <w:jc w:val="center"/>
        <w:rPr>
          <w:rFonts w:ascii="宋体" w:hAnsi="宋体" w:cs="宋体"/>
          <w:color w:val="auto"/>
          <w:szCs w:val="21"/>
          <w:highlight w:val="none"/>
        </w:rPr>
      </w:pPr>
      <w:r>
        <w:rPr>
          <w:rFonts w:hint="eastAsia" w:ascii="宋体" w:hAnsi="宋体" w:cs="宋体"/>
          <w:b/>
          <w:color w:val="auto"/>
          <w:szCs w:val="21"/>
          <w:highlight w:val="none"/>
        </w:rPr>
        <w:t>附录1  资格审查条件</w:t>
      </w:r>
      <w:r>
        <w:rPr>
          <w:rFonts w:hint="eastAsia" w:ascii="宋体" w:hAnsi="宋体" w:cs="宋体"/>
          <w:color w:val="auto"/>
          <w:szCs w:val="21"/>
          <w:highlight w:val="none"/>
        </w:rPr>
        <w:t>（资质最低要求）</w:t>
      </w:r>
    </w:p>
    <w:tbl>
      <w:tblPr>
        <w:tblStyle w:val="6"/>
        <w:tblW w:w="9242" w:type="dxa"/>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12" w:space="0"/>
        </w:tblBorders>
        <w:tblLayout w:type="fixed"/>
        <w:tblCellMar>
          <w:top w:w="0" w:type="dxa"/>
          <w:left w:w="108" w:type="dxa"/>
          <w:bottom w:w="0" w:type="dxa"/>
          <w:right w:w="108" w:type="dxa"/>
        </w:tblCellMar>
      </w:tblPr>
      <w:tblGrid>
        <w:gridCol w:w="9242"/>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12" w:space="0"/>
          </w:tblBorders>
          <w:tblCellMar>
            <w:top w:w="0" w:type="dxa"/>
            <w:left w:w="108" w:type="dxa"/>
            <w:bottom w:w="0" w:type="dxa"/>
            <w:right w:w="108" w:type="dxa"/>
          </w:tblCellMar>
        </w:tblPrEx>
        <w:trPr>
          <w:trHeight w:val="607" w:hRule="atLeast"/>
        </w:trPr>
        <w:tc>
          <w:tcPr>
            <w:tcW w:w="9242" w:type="dxa"/>
            <w:tcBorders>
              <w:top w:val="single" w:color="auto" w:sz="12" w:space="0"/>
              <w:left w:val="single" w:color="auto" w:sz="12" w:space="0"/>
              <w:bottom w:val="single" w:color="auto" w:sz="2" w:space="0"/>
              <w:right w:val="single" w:color="auto" w:sz="12" w:space="0"/>
            </w:tcBorders>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施工企业资质等级要求</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12" w:space="0"/>
          </w:tblBorders>
          <w:tblCellMar>
            <w:top w:w="0" w:type="dxa"/>
            <w:left w:w="108" w:type="dxa"/>
            <w:bottom w:w="0" w:type="dxa"/>
            <w:right w:w="108" w:type="dxa"/>
          </w:tblCellMar>
        </w:tblPrEx>
        <w:trPr>
          <w:trHeight w:val="90" w:hRule="atLeast"/>
        </w:trPr>
        <w:tc>
          <w:tcPr>
            <w:tcW w:w="9242" w:type="dxa"/>
            <w:tcBorders>
              <w:top w:val="single" w:color="auto" w:sz="2" w:space="0"/>
              <w:left w:val="single" w:color="auto" w:sz="12" w:space="0"/>
              <w:bottom w:val="single" w:color="auto" w:sz="2" w:space="0"/>
              <w:right w:val="single" w:color="auto" w:sz="12" w:space="0"/>
            </w:tcBorders>
            <w:vAlign w:val="center"/>
          </w:tcPr>
          <w:p>
            <w:pPr>
              <w:autoSpaceDE w:val="0"/>
              <w:autoSpaceDN w:val="0"/>
              <w:adjustRightInd w:val="0"/>
              <w:snapToGrid w:val="0"/>
              <w:spacing w:line="460" w:lineRule="exact"/>
              <w:jc w:val="left"/>
              <w:rPr>
                <w:rFonts w:ascii="宋体" w:hAnsi="宋体" w:eastAsia="Times New Roman" w:cs="宋体"/>
                <w:i/>
                <w:color w:val="auto"/>
                <w:szCs w:val="21"/>
                <w:highlight w:val="none"/>
              </w:rPr>
            </w:pPr>
            <w:r>
              <w:rPr>
                <w:rFonts w:hint="eastAsia" w:ascii="宋体" w:hAnsi="宋体" w:cs="宋体"/>
                <w:color w:val="auto"/>
                <w:kern w:val="0"/>
                <w:szCs w:val="21"/>
                <w:highlight w:val="none"/>
              </w:rPr>
              <w:t>本次招标要求投标人须具有独立法人资格，具备住建部核发的公路工程施工总承包三级或以上资质。</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12" w:space="0"/>
          </w:tblBorders>
          <w:tblCellMar>
            <w:top w:w="0" w:type="dxa"/>
            <w:left w:w="108" w:type="dxa"/>
            <w:bottom w:w="0" w:type="dxa"/>
            <w:right w:w="108" w:type="dxa"/>
          </w:tblCellMar>
        </w:tblPrEx>
        <w:trPr>
          <w:trHeight w:val="1130" w:hRule="atLeast"/>
        </w:trPr>
        <w:tc>
          <w:tcPr>
            <w:tcW w:w="9242" w:type="dxa"/>
            <w:tcBorders>
              <w:top w:val="single" w:color="auto" w:sz="2" w:space="0"/>
              <w:left w:val="single" w:color="auto" w:sz="12" w:space="0"/>
              <w:bottom w:val="single" w:color="auto" w:sz="2" w:space="0"/>
              <w:right w:val="single" w:color="auto" w:sz="12" w:space="0"/>
            </w:tcBorders>
            <w:vAlign w:val="center"/>
          </w:tcPr>
          <w:p>
            <w:pPr>
              <w:autoSpaceDE w:val="0"/>
              <w:autoSpaceDN w:val="0"/>
              <w:adjustRightInd w:val="0"/>
              <w:snapToGrid w:val="0"/>
              <w:spacing w:line="460" w:lineRule="exact"/>
              <w:jc w:val="left"/>
              <w:rPr>
                <w:rFonts w:ascii="宋体" w:hAnsi="宋体" w:cs="宋体"/>
                <w:color w:val="auto"/>
                <w:szCs w:val="21"/>
                <w:highlight w:val="none"/>
              </w:rPr>
            </w:pPr>
            <w:r>
              <w:rPr>
                <w:rFonts w:hint="eastAsia" w:ascii="宋体" w:hAnsi="宋体" w:cs="宋体"/>
                <w:color w:val="auto"/>
                <w:kern w:val="0"/>
                <w:szCs w:val="21"/>
                <w:highlight w:val="none"/>
              </w:rPr>
              <w:t>评标委员会将按照交通运输部《全国公路建设市场信用信息管理系统》网站中“公路工程施工资质企业名录”进行审核。对于未列入“名录”或投标人名称、资质信息与“名录”不符的，将不能通过资格审查。</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12" w:space="0"/>
          </w:tblBorders>
          <w:tblCellMar>
            <w:top w:w="0" w:type="dxa"/>
            <w:left w:w="108" w:type="dxa"/>
            <w:bottom w:w="0" w:type="dxa"/>
            <w:right w:w="108" w:type="dxa"/>
          </w:tblCellMar>
        </w:tblPrEx>
        <w:trPr>
          <w:trHeight w:val="847" w:hRule="atLeast"/>
        </w:trPr>
        <w:tc>
          <w:tcPr>
            <w:tcW w:w="9242" w:type="dxa"/>
            <w:tcBorders>
              <w:top w:val="single" w:color="auto" w:sz="2" w:space="0"/>
              <w:left w:val="single" w:color="auto" w:sz="12" w:space="0"/>
              <w:bottom w:val="single" w:color="auto" w:sz="12" w:space="0"/>
              <w:right w:val="single" w:color="auto" w:sz="12" w:space="0"/>
            </w:tcBorders>
            <w:vAlign w:val="center"/>
          </w:tcPr>
          <w:p>
            <w:pPr>
              <w:autoSpaceDE w:val="0"/>
              <w:autoSpaceDN w:val="0"/>
              <w:adjustRightInd w:val="0"/>
              <w:snapToGrid w:val="0"/>
              <w:spacing w:line="460" w:lineRule="exact"/>
              <w:jc w:val="left"/>
              <w:rPr>
                <w:rFonts w:ascii="宋体" w:hAnsi="宋体" w:cs="宋体"/>
                <w:color w:val="auto"/>
                <w:szCs w:val="21"/>
                <w:highlight w:val="none"/>
              </w:rPr>
            </w:pPr>
            <w:r>
              <w:rPr>
                <w:rFonts w:hint="eastAsia" w:ascii="宋体" w:hAnsi="宋体" w:cs="宋体"/>
                <w:color w:val="auto"/>
                <w:kern w:val="0"/>
                <w:szCs w:val="21"/>
                <w:highlight w:val="none"/>
              </w:rPr>
              <w:t>投标人应具有有效的安全生产许可证。</w:t>
            </w:r>
          </w:p>
        </w:tc>
      </w:tr>
    </w:tbl>
    <w:p>
      <w:pPr>
        <w:jc w:val="center"/>
        <w:rPr>
          <w:rFonts w:ascii="宋体" w:hAnsi="宋体" w:cs="宋体"/>
          <w:b/>
          <w:color w:val="auto"/>
          <w:szCs w:val="21"/>
          <w:highlight w:val="none"/>
        </w:rPr>
      </w:pPr>
    </w:p>
    <w:p>
      <w:pPr>
        <w:rPr>
          <w:rFonts w:ascii="宋体" w:hAnsi="宋体" w:cs="宋体"/>
          <w:b/>
          <w:color w:val="auto"/>
          <w:szCs w:val="21"/>
          <w:highlight w:val="none"/>
        </w:rPr>
      </w:pPr>
      <w:r>
        <w:rPr>
          <w:rFonts w:hint="eastAsia" w:ascii="宋体" w:hAnsi="宋体" w:cs="宋体"/>
          <w:b/>
          <w:color w:val="auto"/>
          <w:szCs w:val="21"/>
          <w:highlight w:val="none"/>
        </w:rPr>
        <w:br w:type="page"/>
      </w:r>
    </w:p>
    <w:p>
      <w:pPr>
        <w:jc w:val="center"/>
        <w:rPr>
          <w:rFonts w:ascii="宋体" w:hAnsi="宋体" w:cs="宋体"/>
          <w:color w:val="auto"/>
          <w:szCs w:val="21"/>
          <w:highlight w:val="none"/>
        </w:rPr>
      </w:pPr>
      <w:r>
        <w:rPr>
          <w:rFonts w:hint="eastAsia" w:ascii="宋体" w:hAnsi="宋体" w:cs="宋体"/>
          <w:b/>
          <w:color w:val="auto"/>
          <w:szCs w:val="21"/>
          <w:highlight w:val="none"/>
        </w:rPr>
        <w:t>附录2  资格审查条件</w:t>
      </w:r>
      <w:r>
        <w:rPr>
          <w:rFonts w:hint="eastAsia" w:ascii="宋体" w:hAnsi="宋体" w:cs="宋体"/>
          <w:color w:val="auto"/>
          <w:szCs w:val="21"/>
          <w:highlight w:val="none"/>
        </w:rPr>
        <w:t>（财务最低要求）</w:t>
      </w:r>
    </w:p>
    <w:tbl>
      <w:tblPr>
        <w:tblStyle w:val="6"/>
        <w:tblW w:w="924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2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9" w:hRule="atLeast"/>
        </w:trPr>
        <w:tc>
          <w:tcPr>
            <w:tcW w:w="9242" w:type="dxa"/>
            <w:tcBorders>
              <w:top w:val="single" w:color="auto" w:sz="12" w:space="0"/>
              <w:left w:val="single" w:color="auto" w:sz="12" w:space="0"/>
              <w:bottom w:val="single" w:color="auto" w:sz="6" w:space="0"/>
              <w:right w:val="single" w:color="auto" w:sz="12" w:space="0"/>
            </w:tcBorders>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财 务 要 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10" w:hRule="atLeast"/>
        </w:trPr>
        <w:tc>
          <w:tcPr>
            <w:tcW w:w="9242" w:type="dxa"/>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snapToGrid w:val="0"/>
              <w:spacing w:line="460" w:lineRule="exact"/>
              <w:jc w:val="left"/>
              <w:rPr>
                <w:color w:val="auto"/>
                <w:highlight w:val="none"/>
              </w:rPr>
            </w:pPr>
            <w:r>
              <w:rPr>
                <w:rFonts w:hint="eastAsia"/>
                <w:color w:val="auto"/>
                <w:highlight w:val="none"/>
              </w:rPr>
              <w:t>1、企业净资产（总资产-总负债）不少于</w:t>
            </w:r>
            <w:r>
              <w:rPr>
                <w:rFonts w:hint="eastAsia"/>
                <w:color w:val="auto"/>
                <w:highlight w:val="none"/>
                <w:u w:val="single"/>
              </w:rPr>
              <w:t xml:space="preserve"> </w:t>
            </w:r>
            <w:r>
              <w:rPr>
                <w:rFonts w:hint="eastAsia"/>
                <w:color w:val="auto"/>
                <w:highlight w:val="none"/>
                <w:u w:val="single"/>
                <w:lang w:val="en-US" w:eastAsia="zh-CN"/>
              </w:rPr>
              <w:t xml:space="preserve">800 </w:t>
            </w:r>
            <w:r>
              <w:rPr>
                <w:rFonts w:hint="eastAsia"/>
                <w:color w:val="auto"/>
                <w:highlight w:val="none"/>
              </w:rPr>
              <w:t>万元人民币；</w:t>
            </w:r>
          </w:p>
          <w:p>
            <w:pPr>
              <w:autoSpaceDE w:val="0"/>
              <w:autoSpaceDN w:val="0"/>
              <w:adjustRightInd w:val="0"/>
              <w:snapToGrid w:val="0"/>
              <w:spacing w:line="460" w:lineRule="exact"/>
              <w:jc w:val="left"/>
              <w:rPr>
                <w:color w:val="auto"/>
                <w:highlight w:val="none"/>
              </w:rPr>
            </w:pPr>
            <w:r>
              <w:rPr>
                <w:rFonts w:hint="eastAsia"/>
                <w:color w:val="auto"/>
                <w:highlight w:val="none"/>
              </w:rPr>
              <w:t>2、营运资金（流动资产－流动负债）不少于</w:t>
            </w:r>
            <w:r>
              <w:rPr>
                <w:rFonts w:hint="eastAsia"/>
                <w:color w:val="auto"/>
                <w:highlight w:val="none"/>
                <w:u w:val="single"/>
              </w:rPr>
              <w:t xml:space="preserve">  </w:t>
            </w:r>
            <w:r>
              <w:rPr>
                <w:rFonts w:hint="eastAsia"/>
                <w:color w:val="auto"/>
                <w:highlight w:val="none"/>
                <w:u w:val="single"/>
                <w:lang w:val="en-US" w:eastAsia="zh-CN"/>
              </w:rPr>
              <w:t>5000</w:t>
            </w:r>
            <w:r>
              <w:rPr>
                <w:rFonts w:hint="eastAsia"/>
                <w:color w:val="auto"/>
                <w:highlight w:val="none"/>
                <w:u w:val="single"/>
              </w:rPr>
              <w:t xml:space="preserve"> </w:t>
            </w:r>
            <w:r>
              <w:rPr>
                <w:rFonts w:hint="eastAsia"/>
                <w:color w:val="auto"/>
                <w:highlight w:val="none"/>
              </w:rPr>
              <w:t>万元人民币；</w:t>
            </w:r>
          </w:p>
          <w:p>
            <w:pPr>
              <w:autoSpaceDE w:val="0"/>
              <w:autoSpaceDN w:val="0"/>
              <w:adjustRightInd w:val="0"/>
              <w:snapToGrid w:val="0"/>
              <w:spacing w:line="460" w:lineRule="exact"/>
              <w:jc w:val="left"/>
              <w:rPr>
                <w:color w:val="auto"/>
                <w:highlight w:val="none"/>
              </w:rPr>
            </w:pPr>
            <w:r>
              <w:rPr>
                <w:rFonts w:hint="eastAsia"/>
                <w:color w:val="auto"/>
                <w:highlight w:val="none"/>
              </w:rPr>
              <w:t>3、最近三个年度的平均营业总收入不少于</w:t>
            </w:r>
            <w:r>
              <w:rPr>
                <w:rFonts w:hint="eastAsia"/>
                <w:color w:val="auto"/>
                <w:highlight w:val="none"/>
                <w:u w:val="single"/>
              </w:rPr>
              <w:t xml:space="preserve"> </w:t>
            </w:r>
            <w:r>
              <w:rPr>
                <w:rFonts w:hint="eastAsia"/>
                <w:color w:val="auto"/>
                <w:highlight w:val="none"/>
                <w:u w:val="single"/>
                <w:lang w:val="en-US" w:eastAsia="zh-CN"/>
              </w:rPr>
              <w:t>20000</w:t>
            </w:r>
            <w:r>
              <w:rPr>
                <w:rFonts w:hint="eastAsia"/>
                <w:color w:val="auto"/>
                <w:highlight w:val="none"/>
                <w:u w:val="single"/>
              </w:rPr>
              <w:t xml:space="preserve"> </w:t>
            </w:r>
            <w:r>
              <w:rPr>
                <w:rFonts w:hint="eastAsia"/>
                <w:color w:val="auto"/>
                <w:highlight w:val="none"/>
              </w:rPr>
              <w:t>万元人民币；</w:t>
            </w:r>
          </w:p>
          <w:p>
            <w:pPr>
              <w:autoSpaceDE w:val="0"/>
              <w:autoSpaceDN w:val="0"/>
              <w:adjustRightInd w:val="0"/>
              <w:snapToGrid w:val="0"/>
              <w:spacing w:line="460" w:lineRule="exact"/>
              <w:jc w:val="left"/>
              <w:rPr>
                <w:color w:val="auto"/>
                <w:highlight w:val="none"/>
              </w:rPr>
            </w:pPr>
            <w:r>
              <w:rPr>
                <w:rFonts w:hint="eastAsia"/>
                <w:color w:val="auto"/>
                <w:highlight w:val="none"/>
              </w:rPr>
              <w:t>4、最近三个年至少有</w:t>
            </w:r>
            <w:r>
              <w:rPr>
                <w:rFonts w:hint="eastAsia"/>
                <w:color w:val="auto"/>
                <w:highlight w:val="none"/>
                <w:u w:val="single"/>
              </w:rPr>
              <w:t xml:space="preserve"> 3 </w:t>
            </w:r>
            <w:r>
              <w:rPr>
                <w:rFonts w:hint="eastAsia"/>
                <w:color w:val="auto"/>
                <w:highlight w:val="none"/>
              </w:rPr>
              <w:t>年盈利。</w:t>
            </w:r>
          </w:p>
        </w:tc>
      </w:tr>
    </w:tbl>
    <w:p>
      <w:pPr>
        <w:jc w:val="left"/>
        <w:rPr>
          <w:rFonts w:ascii="宋体" w:hAnsi="宋体" w:cs="宋体"/>
          <w:color w:val="auto"/>
          <w:kern w:val="0"/>
          <w:sz w:val="18"/>
          <w:szCs w:val="18"/>
          <w:highlight w:val="none"/>
        </w:rPr>
      </w:pPr>
    </w:p>
    <w:p>
      <w:pPr>
        <w:spacing w:line="360" w:lineRule="auto"/>
        <w:rPr>
          <w:rFonts w:ascii="宋体" w:hAnsi="宋体" w:eastAsia="Times New Roman" w:cs="宋体"/>
          <w:color w:val="auto"/>
          <w:szCs w:val="21"/>
          <w:highlight w:val="none"/>
        </w:rPr>
      </w:pPr>
      <w:r>
        <w:rPr>
          <w:rFonts w:ascii="宋体" w:hAnsi="宋体" w:eastAsia="Times New Roman" w:cs="宋体"/>
          <w:color w:val="auto"/>
          <w:szCs w:val="21"/>
          <w:highlight w:val="none"/>
        </w:rPr>
        <w:t>注：1、企业净资产、营运资金是按交通运输部</w:t>
      </w:r>
      <w:r>
        <w:rPr>
          <w:rFonts w:ascii="GRAENB+TimesNewRomanPSMT" w:hAnsi="GRAENB+TimesNewRomanPSMT" w:eastAsia="Times New Roman" w:cs="GRAENB+TimesNewRomanPSMT"/>
          <w:color w:val="auto"/>
          <w:spacing w:val="-1"/>
          <w:szCs w:val="21"/>
          <w:highlight w:val="none"/>
        </w:rPr>
        <w:t>“</w:t>
      </w:r>
      <w:r>
        <w:rPr>
          <w:rFonts w:ascii="宋体" w:hAnsi="宋体" w:eastAsia="Times New Roman" w:cs="宋体"/>
          <w:color w:val="auto"/>
          <w:szCs w:val="21"/>
          <w:highlight w:val="none"/>
        </w:rPr>
        <w:t>全国公路建设市场信用信息管理系统</w:t>
      </w:r>
      <w:r>
        <w:rPr>
          <w:rFonts w:ascii="GRAENB+TimesNewRomanPSMT" w:hAnsi="GRAENB+TimesNewRomanPSMT" w:eastAsia="Times New Roman" w:cs="GRAENB+TimesNewRomanPSMT"/>
          <w:color w:val="auto"/>
          <w:spacing w:val="1"/>
          <w:szCs w:val="21"/>
          <w:highlight w:val="none"/>
        </w:rPr>
        <w:t>”</w:t>
      </w:r>
      <w:r>
        <w:rPr>
          <w:rFonts w:ascii="宋体" w:hAnsi="宋体" w:eastAsia="Times New Roman" w:cs="宋体"/>
          <w:color w:val="auto"/>
          <w:szCs w:val="21"/>
          <w:highlight w:val="none"/>
        </w:rPr>
        <w:t>登记的</w:t>
      </w:r>
      <w:r>
        <w:rPr>
          <w:rFonts w:hint="eastAsia" w:ascii="宋体" w:hAnsi="宋体" w:cs="宋体"/>
          <w:color w:val="auto"/>
          <w:szCs w:val="21"/>
          <w:highlight w:val="none"/>
        </w:rPr>
        <w:t>202</w:t>
      </w:r>
      <w:r>
        <w:rPr>
          <w:rFonts w:hint="eastAsia" w:ascii="宋体" w:hAnsi="宋体" w:cs="宋体"/>
          <w:color w:val="auto"/>
          <w:szCs w:val="21"/>
          <w:highlight w:val="none"/>
          <w:lang w:val="en-US" w:eastAsia="zh-CN"/>
        </w:rPr>
        <w:t>1</w:t>
      </w:r>
      <w:r>
        <w:rPr>
          <w:rFonts w:ascii="宋体" w:hAnsi="宋体" w:eastAsia="Times New Roman" w:cs="宋体"/>
          <w:color w:val="auto"/>
          <w:szCs w:val="21"/>
          <w:highlight w:val="none"/>
        </w:rPr>
        <w:t>年度数据计算得出。</w:t>
      </w:r>
    </w:p>
    <w:p>
      <w:pPr>
        <w:spacing w:line="360" w:lineRule="auto"/>
        <w:ind w:firstLine="420" w:firstLineChars="200"/>
        <w:rPr>
          <w:rFonts w:hAnsi="Times New Roman" w:eastAsia="Times New Roman"/>
          <w:color w:val="auto"/>
          <w:szCs w:val="21"/>
          <w:highlight w:val="none"/>
        </w:rPr>
      </w:pPr>
      <w:r>
        <w:rPr>
          <w:rFonts w:ascii="宋体" w:hAnsi="宋体" w:eastAsia="Times New Roman" w:cs="宋体"/>
          <w:color w:val="auto"/>
          <w:szCs w:val="21"/>
          <w:highlight w:val="none"/>
        </w:rPr>
        <w:t>2、近三个年度财务信息以申请人提供的“全国公路建设市场信用信息管理系统”企业所填</w:t>
      </w:r>
      <w:r>
        <w:rPr>
          <w:rFonts w:hint="eastAsia" w:ascii="宋体" w:hAnsi="宋体" w:cs="宋体"/>
          <w:color w:val="auto"/>
          <w:szCs w:val="21"/>
          <w:highlight w:val="none"/>
        </w:rPr>
        <w:t>201</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-202</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年度</w:t>
      </w:r>
      <w:r>
        <w:rPr>
          <w:rFonts w:ascii="宋体" w:hAnsi="宋体" w:eastAsia="Times New Roman" w:cs="宋体"/>
          <w:color w:val="auto"/>
          <w:szCs w:val="21"/>
          <w:highlight w:val="none"/>
        </w:rPr>
        <w:t>的信息截图为准。</w:t>
      </w:r>
    </w:p>
    <w:p>
      <w:pPr>
        <w:spacing w:line="360" w:lineRule="auto"/>
        <w:ind w:firstLine="420" w:firstLineChars="200"/>
        <w:rPr>
          <w:rFonts w:ascii="宋体" w:hAnsi="宋体" w:eastAsia="Times New Roman" w:cs="宋体"/>
          <w:color w:val="auto"/>
          <w:szCs w:val="21"/>
          <w:highlight w:val="none"/>
        </w:rPr>
      </w:pPr>
      <w:r>
        <w:rPr>
          <w:rFonts w:ascii="宋体" w:hAnsi="宋体" w:eastAsia="Times New Roman" w:cs="宋体"/>
          <w:color w:val="auto"/>
          <w:szCs w:val="21"/>
          <w:highlight w:val="none"/>
        </w:rPr>
        <w:t>3、以联合体形式申请资格预审的，其财务能力以所有成员（含牵头人）合并计算为准。</w:t>
      </w:r>
    </w:p>
    <w:p>
      <w:pPr>
        <w:rPr>
          <w:rFonts w:ascii="宋体" w:hAnsi="宋体" w:eastAsia="Times New Roman" w:cs="宋体"/>
          <w:color w:val="auto"/>
          <w:szCs w:val="21"/>
          <w:highlight w:val="none"/>
        </w:rPr>
      </w:pPr>
      <w:r>
        <w:rPr>
          <w:rFonts w:ascii="宋体" w:hAnsi="宋体" w:eastAsia="Times New Roman" w:cs="宋体"/>
          <w:color w:val="auto"/>
          <w:szCs w:val="21"/>
          <w:highlight w:val="none"/>
        </w:rPr>
        <w:br w:type="page"/>
      </w:r>
    </w:p>
    <w:p>
      <w:pPr>
        <w:spacing w:after="120" w:afterLines="50"/>
        <w:jc w:val="center"/>
        <w:rPr>
          <w:rFonts w:ascii="宋体" w:hAnsi="宋体" w:cs="宋体"/>
          <w:color w:val="auto"/>
          <w:szCs w:val="21"/>
          <w:highlight w:val="none"/>
        </w:rPr>
      </w:pPr>
      <w:r>
        <w:rPr>
          <w:rFonts w:hint="eastAsia" w:ascii="宋体" w:hAnsi="宋体" w:cs="宋体"/>
          <w:b/>
          <w:color w:val="auto"/>
          <w:szCs w:val="21"/>
          <w:highlight w:val="none"/>
        </w:rPr>
        <w:t>附录3  资格审查条件</w:t>
      </w:r>
      <w:r>
        <w:rPr>
          <w:rFonts w:hint="eastAsia" w:ascii="宋体" w:hAnsi="宋体" w:cs="宋体"/>
          <w:color w:val="auto"/>
          <w:szCs w:val="21"/>
          <w:highlight w:val="none"/>
        </w:rPr>
        <w:t>（业绩最低要求）</w:t>
      </w:r>
    </w:p>
    <w:p>
      <w:pPr>
        <w:rPr>
          <w:rFonts w:ascii="宋体" w:hAnsi="宋体" w:cs="宋体"/>
          <w:b/>
          <w:color w:val="auto"/>
          <w:szCs w:val="21"/>
          <w:highlight w:val="none"/>
        </w:rPr>
      </w:pPr>
    </w:p>
    <w:tbl>
      <w:tblPr>
        <w:tblStyle w:val="6"/>
        <w:tblW w:w="924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24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9240" w:type="dxa"/>
            <w:tcBorders>
              <w:top w:val="single" w:color="auto" w:sz="12" w:space="0"/>
              <w:left w:val="single" w:color="auto" w:sz="12" w:space="0"/>
              <w:bottom w:val="single" w:color="auto" w:sz="6" w:space="0"/>
              <w:right w:val="single" w:color="auto" w:sz="12" w:space="0"/>
            </w:tcBorders>
            <w:vAlign w:val="center"/>
          </w:tcPr>
          <w:p>
            <w:pPr>
              <w:jc w:val="center"/>
              <w:rPr>
                <w:rFonts w:ascii="宋体" w:hAnsi="宋体" w:cs="宋体"/>
                <w:color w:val="auto"/>
                <w:szCs w:val="21"/>
                <w:highlight w:val="none"/>
              </w:rPr>
            </w:pPr>
            <w:r>
              <w:rPr>
                <w:rFonts w:hint="eastAsia" w:ascii="宋体" w:hAnsi="宋体" w:cs="宋体"/>
                <w:b/>
                <w:color w:val="auto"/>
                <w:szCs w:val="21"/>
                <w:highlight w:val="none"/>
              </w:rPr>
              <w:br w:type="page"/>
            </w:r>
            <w:r>
              <w:rPr>
                <w:rFonts w:hint="eastAsia" w:ascii="宋体" w:hAnsi="宋体" w:cs="宋体"/>
                <w:color w:val="auto"/>
                <w:szCs w:val="21"/>
                <w:highlight w:val="none"/>
              </w:rPr>
              <w:t>业 绩 要 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05" w:hRule="atLeast"/>
          <w:jc w:val="center"/>
        </w:trPr>
        <w:tc>
          <w:tcPr>
            <w:tcW w:w="9240" w:type="dxa"/>
            <w:tcBorders>
              <w:top w:val="single" w:color="auto" w:sz="6" w:space="0"/>
              <w:left w:val="single" w:color="auto" w:sz="12" w:space="0"/>
              <w:bottom w:val="single" w:color="auto" w:sz="12" w:space="0"/>
              <w:right w:val="single" w:color="auto" w:sz="12" w:space="0"/>
            </w:tcBorders>
            <w:vAlign w:val="center"/>
          </w:tcPr>
          <w:p>
            <w:pPr>
              <w:spacing w:line="360" w:lineRule="auto"/>
              <w:ind w:firstLine="420" w:firstLineChars="200"/>
              <w:contextualSpacing/>
              <w:jc w:val="left"/>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近</w:t>
            </w:r>
            <w:r>
              <w:rPr>
                <w:rFonts w:hint="eastAsia" w:ascii="宋体" w:hAnsi="宋体" w:cs="宋体"/>
                <w:color w:val="auto"/>
                <w:szCs w:val="21"/>
                <w:highlight w:val="none"/>
                <w:lang w:val="en-US" w:eastAsia="zh-CN"/>
              </w:rPr>
              <w:t>三</w:t>
            </w:r>
            <w:r>
              <w:rPr>
                <w:rFonts w:hint="eastAsia" w:ascii="宋体" w:hAnsi="宋体" w:cs="宋体"/>
                <w:color w:val="auto"/>
                <w:szCs w:val="21"/>
                <w:highlight w:val="none"/>
              </w:rPr>
              <w:t>年内（201</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月以来），成功完成过至少</w:t>
            </w:r>
            <w:r>
              <w:rPr>
                <w:rFonts w:hint="eastAsia" w:ascii="宋体" w:hAnsi="宋体" w:cs="宋体"/>
                <w:color w:val="auto"/>
                <w:szCs w:val="21"/>
                <w:highlight w:val="none"/>
                <w:lang w:val="en-US" w:eastAsia="zh-CN"/>
              </w:rPr>
              <w:t>一项</w:t>
            </w:r>
            <w:r>
              <w:rPr>
                <w:rFonts w:hint="eastAsia" w:ascii="宋体" w:hAnsi="宋体" w:cs="宋体"/>
                <w:b w:val="0"/>
                <w:bCs w:val="0"/>
                <w:color w:val="auto"/>
                <w:szCs w:val="21"/>
                <w:highlight w:val="none"/>
                <w:lang w:eastAsia="zh-CN"/>
              </w:rPr>
              <w:t>类似新建或改扩建或改造公路工程</w:t>
            </w:r>
            <w:r>
              <w:rPr>
                <w:rFonts w:hint="eastAsia" w:ascii="宋体" w:hAnsi="宋体" w:cs="宋体"/>
                <w:color w:val="auto"/>
                <w:szCs w:val="21"/>
                <w:highlight w:val="none"/>
              </w:rPr>
              <w:t>，</w:t>
            </w:r>
            <w:r>
              <w:rPr>
                <w:rFonts w:hint="eastAsia" w:ascii="宋体" w:hAnsi="宋体" w:cs="宋体"/>
                <w:color w:val="auto"/>
                <w:highlight w:val="none"/>
              </w:rPr>
              <w:t>时间以“全国公路建设市场信用信息管理系统”上的交工日期为准。</w:t>
            </w:r>
            <w:r>
              <w:rPr>
                <w:rFonts w:hint="eastAsia" w:ascii="宋体" w:hAnsi="宋体" w:cs="宋体"/>
                <w:color w:val="auto"/>
                <w:highlight w:val="none"/>
                <w:lang w:val="en-US" w:eastAsia="zh-CN"/>
              </w:rPr>
              <w:t xml:space="preserve"> </w:t>
            </w:r>
          </w:p>
        </w:tc>
      </w:tr>
    </w:tbl>
    <w:p>
      <w:pPr>
        <w:spacing w:line="360" w:lineRule="auto"/>
        <w:ind w:left="284" w:leftChars="135" w:right="275" w:rightChars="131" w:hanging="1"/>
        <w:rPr>
          <w:rFonts w:ascii="宋体" w:hAnsi="宋体" w:cs="宋体"/>
          <w:color w:val="auto"/>
          <w:szCs w:val="21"/>
          <w:highlight w:val="none"/>
        </w:rPr>
      </w:pPr>
      <w:r>
        <w:rPr>
          <w:rFonts w:hint="eastAsia" w:ascii="宋体" w:hAnsi="宋体" w:cs="宋体"/>
          <w:color w:val="auto"/>
          <w:szCs w:val="21"/>
          <w:highlight w:val="none"/>
        </w:rPr>
        <w:t>注：1、应附在交通运输部“全国公路建设市场信用信息管理系统”中查询到的企业“业绩信息”相关项目网页截图复印件或网页打印件，即包括“项目名称”、“标段类型”、“合同价”、“主要工程量”等栏目在内的项目详细信息网页截图复印件或网页打印件。除网页截图复印件或网页打印件外，投标人无需再提供任何业绩证明材料。</w:t>
      </w:r>
    </w:p>
    <w:p>
      <w:pPr>
        <w:spacing w:line="360" w:lineRule="auto"/>
        <w:rPr>
          <w:rFonts w:ascii="宋体" w:hAnsi="宋体" w:eastAsia="Times New Roman" w:cs="宋体"/>
          <w:color w:val="auto"/>
          <w:sz w:val="15"/>
          <w:szCs w:val="22"/>
          <w:highlight w:val="none"/>
        </w:rPr>
      </w:pPr>
      <w:r>
        <w:rPr>
          <w:rFonts w:hint="eastAsia" w:ascii="宋体" w:hAnsi="宋体" w:cs="宋体"/>
          <w:color w:val="auto"/>
          <w:szCs w:val="21"/>
          <w:highlight w:val="none"/>
        </w:rPr>
        <w:t>2、若投标人提供的业绩证明为联合体业绩，则按交通运输部“全国公路建设市场信用信息管理系统”业绩信息的网页截图体现其完成的工作量认定，无法界定其完成的工作量，此业绩不予认定。</w:t>
      </w:r>
      <w:r>
        <w:rPr>
          <w:rFonts w:ascii="宋体" w:hAnsi="宋体" w:eastAsia="Times New Roman" w:cs="宋体"/>
          <w:color w:val="auto"/>
          <w:sz w:val="15"/>
          <w:szCs w:val="22"/>
          <w:highlight w:val="none"/>
        </w:rPr>
        <w:br w:type="page"/>
      </w:r>
    </w:p>
    <w:p>
      <w:pPr>
        <w:ind w:left="284" w:leftChars="135" w:right="275" w:rightChars="131" w:hanging="1"/>
        <w:jc w:val="center"/>
        <w:rPr>
          <w:rFonts w:ascii="宋体" w:hAnsi="宋体" w:cs="宋体"/>
          <w:color w:val="auto"/>
          <w:szCs w:val="21"/>
          <w:highlight w:val="none"/>
        </w:rPr>
      </w:pPr>
      <w:r>
        <w:rPr>
          <w:rFonts w:hint="eastAsia" w:ascii="宋体" w:hAnsi="宋体" w:cs="宋体"/>
          <w:b/>
          <w:color w:val="auto"/>
          <w:szCs w:val="21"/>
          <w:highlight w:val="none"/>
        </w:rPr>
        <w:t>附录4   资格审查条件</w:t>
      </w:r>
      <w:r>
        <w:rPr>
          <w:rFonts w:hint="eastAsia" w:ascii="宋体" w:hAnsi="宋体" w:cs="宋体"/>
          <w:color w:val="auto"/>
          <w:szCs w:val="21"/>
          <w:highlight w:val="none"/>
        </w:rPr>
        <w:t>（信誉最低要求）</w:t>
      </w:r>
    </w:p>
    <w:tbl>
      <w:tblPr>
        <w:tblStyle w:val="6"/>
        <w:tblW w:w="924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2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242" w:type="dxa"/>
            <w:tcBorders>
              <w:top w:val="single" w:color="auto" w:sz="12" w:space="0"/>
              <w:left w:val="single" w:color="auto" w:sz="12" w:space="0"/>
              <w:bottom w:val="single" w:color="auto" w:sz="4" w:space="0"/>
              <w:right w:val="single" w:color="auto" w:sz="12"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信 誉 要 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14" w:hRule="atLeast"/>
          <w:jc w:val="center"/>
        </w:trPr>
        <w:tc>
          <w:tcPr>
            <w:tcW w:w="9242" w:type="dxa"/>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napToGrid w:val="0"/>
              <w:spacing w:line="460" w:lineRule="exact"/>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1、没有处于被责令停业，财务被接管、冻结、破产状态；</w:t>
            </w:r>
          </w:p>
          <w:p>
            <w:pPr>
              <w:autoSpaceDE w:val="0"/>
              <w:autoSpaceDN w:val="0"/>
              <w:adjustRightInd w:val="0"/>
              <w:snapToGrid w:val="0"/>
              <w:spacing w:line="460" w:lineRule="exact"/>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2、没有被交通运输部、广东省交通厅通报并取消相应投标资格（处于有效期内）；</w:t>
            </w:r>
          </w:p>
          <w:p>
            <w:pPr>
              <w:autoSpaceDE w:val="0"/>
              <w:autoSpaceDN w:val="0"/>
              <w:adjustRightInd w:val="0"/>
              <w:snapToGrid w:val="0"/>
              <w:spacing w:line="460" w:lineRule="exact"/>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3、在最新年度广东省公路工程从业单位（施工单位）信用评价（含无最新年度而上一年度有信用评价）中，信用等级未被评为D级；初次进入广东省的投标人，在最新年度的全国公路从业单位（施工单位）信用评价结果中未被评为D级。 </w:t>
            </w:r>
          </w:p>
        </w:tc>
      </w:tr>
    </w:tbl>
    <w:p>
      <w:pPr>
        <w:spacing w:line="360" w:lineRule="auto"/>
        <w:ind w:firstLine="420" w:firstLineChars="200"/>
        <w:rPr>
          <w:rFonts w:ascii="宋体" w:hAnsi="宋体" w:eastAsia="Times New Roman" w:cs="宋体"/>
          <w:color w:val="auto"/>
          <w:szCs w:val="21"/>
          <w:highlight w:val="none"/>
        </w:rPr>
      </w:pPr>
      <w:r>
        <w:rPr>
          <w:rFonts w:hint="eastAsia" w:ascii="宋体" w:hAnsi="宋体" w:eastAsia="Times New Roman" w:cs="宋体"/>
          <w:color w:val="auto"/>
          <w:szCs w:val="21"/>
          <w:highlight w:val="none"/>
        </w:rPr>
        <w:t>注：1、对投标人伪造、涂改查询结果证明材料的，按提供虚假材料而否决其投标，并按不良投标行为予以公告。</w:t>
      </w:r>
    </w:p>
    <w:p>
      <w:pPr>
        <w:spacing w:line="360" w:lineRule="auto"/>
        <w:ind w:firstLine="420" w:firstLineChars="200"/>
        <w:rPr>
          <w:rFonts w:ascii="宋体" w:hAnsi="宋体" w:eastAsia="Times New Roman" w:cs="宋体"/>
          <w:color w:val="auto"/>
          <w:szCs w:val="21"/>
          <w:highlight w:val="none"/>
        </w:rPr>
      </w:pPr>
      <w:r>
        <w:rPr>
          <w:rFonts w:hint="eastAsia" w:ascii="宋体" w:hAnsi="宋体" w:eastAsia="Times New Roman" w:cs="宋体"/>
          <w:color w:val="auto"/>
          <w:szCs w:val="21"/>
          <w:highlight w:val="none"/>
        </w:rPr>
        <w:t>2、信用等级的确定原则遵循申请人须知前附表10.2款的规定。</w:t>
      </w:r>
    </w:p>
    <w:p>
      <w:pPr>
        <w:ind w:left="284" w:leftChars="135" w:right="275" w:rightChars="131" w:hanging="1"/>
        <w:rPr>
          <w:rFonts w:ascii="宋体" w:hAnsi="宋体" w:cs="宋体"/>
          <w:b/>
          <w:color w:val="auto"/>
          <w:szCs w:val="21"/>
          <w:highlight w:val="none"/>
        </w:rPr>
        <w:sectPr>
          <w:footnotePr>
            <w:numFmt w:val="decimalEnclosedCircleChinese"/>
            <w:numRestart w:val="eachPage"/>
          </w:footnotePr>
          <w:pgSz w:w="11905" w:h="16838"/>
          <w:pgMar w:top="1247" w:right="1247" w:bottom="1247" w:left="1247" w:header="850" w:footer="850" w:gutter="0"/>
          <w:pgNumType w:fmt="decimal"/>
          <w:cols w:space="0" w:num="1"/>
        </w:sectPr>
      </w:pPr>
    </w:p>
    <w:p>
      <w:pPr>
        <w:spacing w:after="120" w:afterLines="50"/>
        <w:jc w:val="center"/>
        <w:rPr>
          <w:rFonts w:ascii="宋体" w:hAnsi="宋体" w:cs="宋体"/>
          <w:color w:val="auto"/>
          <w:szCs w:val="21"/>
          <w:highlight w:val="none"/>
        </w:rPr>
      </w:pPr>
      <w:r>
        <w:rPr>
          <w:rFonts w:hint="eastAsia" w:ascii="宋体" w:hAnsi="宋体" w:cs="宋体"/>
          <w:b/>
          <w:color w:val="auto"/>
          <w:szCs w:val="21"/>
          <w:highlight w:val="none"/>
        </w:rPr>
        <w:t>附录5 资格审查条件</w:t>
      </w:r>
      <w:r>
        <w:rPr>
          <w:rFonts w:hint="eastAsia" w:ascii="宋体" w:hAnsi="宋体" w:cs="宋体"/>
          <w:color w:val="auto"/>
          <w:szCs w:val="21"/>
          <w:highlight w:val="none"/>
        </w:rPr>
        <w:t>（项目经理和项目总工最低要求）</w:t>
      </w:r>
    </w:p>
    <w:tbl>
      <w:tblPr>
        <w:tblStyle w:val="6"/>
        <w:tblW w:w="942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78"/>
        <w:gridCol w:w="1075"/>
        <w:gridCol w:w="458"/>
        <w:gridCol w:w="5368"/>
        <w:gridCol w:w="21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78" w:type="dxa"/>
            <w:tcBorders>
              <w:top w:val="single" w:color="auto" w:sz="12" w:space="0"/>
              <w:left w:val="single" w:color="auto" w:sz="12" w:space="0"/>
              <w:bottom w:val="single" w:color="auto" w:sz="4" w:space="0"/>
              <w:right w:val="single" w:color="auto" w:sz="4" w:space="0"/>
            </w:tcBorders>
            <w:vAlign w:val="center"/>
          </w:tcPr>
          <w:p>
            <w:pPr>
              <w:rPr>
                <w:rFonts w:ascii="宋体" w:hAnsi="宋体" w:cs="宋体"/>
                <w:color w:val="auto"/>
                <w:szCs w:val="21"/>
                <w:highlight w:val="none"/>
              </w:rPr>
            </w:pPr>
            <w:r>
              <w:rPr>
                <w:rFonts w:hint="eastAsia" w:ascii="宋体" w:hAnsi="宋体" w:cs="宋体"/>
                <w:color w:val="auto"/>
                <w:sz w:val="24"/>
                <w:highlight w:val="none"/>
              </w:rPr>
              <w:t>序号</w:t>
            </w:r>
          </w:p>
        </w:tc>
        <w:tc>
          <w:tcPr>
            <w:tcW w:w="1075" w:type="dxa"/>
            <w:tcBorders>
              <w:top w:val="single" w:color="auto" w:sz="12"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人  员</w:t>
            </w:r>
          </w:p>
        </w:tc>
        <w:tc>
          <w:tcPr>
            <w:tcW w:w="458" w:type="dxa"/>
            <w:tcBorders>
              <w:top w:val="single" w:color="auto" w:sz="12"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数  量</w:t>
            </w:r>
          </w:p>
        </w:tc>
        <w:tc>
          <w:tcPr>
            <w:tcW w:w="5368" w:type="dxa"/>
            <w:tcBorders>
              <w:top w:val="single" w:color="auto" w:sz="12" w:space="0"/>
              <w:left w:val="single" w:color="auto" w:sz="4" w:space="0"/>
              <w:bottom w:val="single" w:color="auto" w:sz="4" w:space="0"/>
              <w:right w:val="single" w:color="auto" w:sz="12"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资 格 要 求</w:t>
            </w:r>
          </w:p>
        </w:tc>
        <w:tc>
          <w:tcPr>
            <w:tcW w:w="2148" w:type="dxa"/>
            <w:tcBorders>
              <w:top w:val="single" w:color="auto" w:sz="12" w:space="0"/>
              <w:left w:val="single" w:color="auto" w:sz="4" w:space="0"/>
              <w:bottom w:val="single" w:color="auto" w:sz="4" w:space="0"/>
              <w:right w:val="single" w:color="auto" w:sz="12"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在岗要求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378" w:type="dxa"/>
            <w:tcBorders>
              <w:top w:val="single" w:color="auto" w:sz="4" w:space="0"/>
              <w:left w:val="single" w:color="auto" w:sz="12" w:space="0"/>
              <w:right w:val="single" w:color="auto" w:sz="4" w:space="0"/>
            </w:tcBorders>
            <w:vAlign w:val="center"/>
          </w:tcPr>
          <w:p>
            <w:pPr>
              <w:rPr>
                <w:rFonts w:ascii="宋体" w:hAnsi="宋体" w:cs="宋体"/>
                <w:color w:val="auto"/>
                <w:kern w:val="0"/>
                <w:szCs w:val="21"/>
                <w:highlight w:val="none"/>
              </w:rPr>
            </w:pPr>
            <w:r>
              <w:rPr>
                <w:rFonts w:hint="eastAsia" w:ascii="宋体" w:hAnsi="宋体" w:cs="宋体"/>
                <w:color w:val="auto"/>
                <w:sz w:val="24"/>
                <w:highlight w:val="none"/>
              </w:rPr>
              <w:t>1</w:t>
            </w:r>
          </w:p>
        </w:tc>
        <w:tc>
          <w:tcPr>
            <w:tcW w:w="1075" w:type="dxa"/>
            <w:tcBorders>
              <w:top w:val="single" w:color="auto" w:sz="4" w:space="0"/>
              <w:left w:val="single" w:color="auto" w:sz="4" w:space="0"/>
              <w:right w:val="single" w:color="auto" w:sz="4" w:space="0"/>
            </w:tcBorders>
            <w:vAlign w:val="center"/>
          </w:tcPr>
          <w:p>
            <w:pPr>
              <w:autoSpaceDE w:val="0"/>
              <w:autoSpaceDN w:val="0"/>
              <w:adjustRightInd w:val="0"/>
              <w:snapToGrid w:val="0"/>
              <w:spacing w:line="460" w:lineRule="exact"/>
              <w:jc w:val="center"/>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项目经理</w:t>
            </w:r>
          </w:p>
        </w:tc>
        <w:tc>
          <w:tcPr>
            <w:tcW w:w="45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5368" w:type="dxa"/>
            <w:tcBorders>
              <w:top w:val="single" w:color="auto" w:sz="4" w:space="0"/>
              <w:left w:val="single" w:color="auto" w:sz="4" w:space="0"/>
              <w:right w:val="single" w:color="auto" w:sz="12" w:space="0"/>
            </w:tcBorders>
            <w:vAlign w:val="center"/>
          </w:tcPr>
          <w:p>
            <w:pPr>
              <w:autoSpaceDE w:val="0"/>
              <w:autoSpaceDN w:val="0"/>
              <w:adjustRightInd w:val="0"/>
              <w:snapToGrid w:val="0"/>
              <w:spacing w:line="460" w:lineRule="exact"/>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工程师，担任类似工程项目经理（或项目副经理或项目总工）岗位累计12个月，并同时持有住房和城乡建设部门颁发的公路工程专业</w:t>
            </w:r>
            <w:r>
              <w:rPr>
                <w:rFonts w:hint="eastAsia" w:ascii="宋体" w:hAnsi="宋体" w:cs="宋体"/>
                <w:color w:val="auto"/>
                <w:kern w:val="0"/>
                <w:szCs w:val="21"/>
                <w:highlight w:val="none"/>
                <w:lang w:val="en-US" w:eastAsia="zh-CN"/>
              </w:rPr>
              <w:t>二</w:t>
            </w:r>
            <w:r>
              <w:rPr>
                <w:rFonts w:hint="eastAsia" w:ascii="宋体" w:hAnsi="宋体" w:cs="宋体"/>
                <w:color w:val="auto"/>
                <w:kern w:val="0"/>
                <w:szCs w:val="21"/>
                <w:highlight w:val="none"/>
              </w:rPr>
              <w:t>级</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不含临时资格证书，广东省外需为公路工程专业</w:t>
            </w:r>
            <w:r>
              <w:rPr>
                <w:rFonts w:hint="eastAsia" w:ascii="宋体" w:hAnsi="宋体" w:cs="宋体"/>
                <w:color w:val="auto"/>
                <w:kern w:val="0"/>
                <w:szCs w:val="21"/>
                <w:highlight w:val="none"/>
                <w:lang w:eastAsia="zh-CN"/>
              </w:rPr>
              <w:t>一</w:t>
            </w:r>
            <w:r>
              <w:rPr>
                <w:rFonts w:hint="eastAsia" w:ascii="宋体" w:hAnsi="宋体" w:cs="宋体"/>
                <w:color w:val="auto"/>
                <w:kern w:val="0"/>
                <w:szCs w:val="21"/>
                <w:highlight w:val="none"/>
              </w:rPr>
              <w:t>级注册建造师注册证书</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建造师注册证书(不含临时注册证书)，具有交通主管部门颁发的有效安全生产“三类人员”B类证书</w:t>
            </w:r>
            <w:r>
              <w:rPr>
                <w:rFonts w:hint="eastAsia" w:ascii="宋体" w:hAnsi="宋体" w:cs="宋体"/>
                <w:color w:val="auto"/>
                <w:kern w:val="0"/>
                <w:szCs w:val="21"/>
                <w:highlight w:val="none"/>
                <w:lang w:eastAsia="zh-CN"/>
              </w:rPr>
              <w:t>，年龄不超过60周岁</w:t>
            </w:r>
            <w:r>
              <w:rPr>
                <w:rFonts w:hint="eastAsia" w:ascii="宋体" w:hAnsi="宋体" w:cs="宋体"/>
                <w:color w:val="auto"/>
                <w:kern w:val="0"/>
                <w:szCs w:val="21"/>
                <w:highlight w:val="none"/>
              </w:rPr>
              <w:t>。</w:t>
            </w:r>
          </w:p>
        </w:tc>
        <w:tc>
          <w:tcPr>
            <w:tcW w:w="2148" w:type="dxa"/>
            <w:vMerge w:val="restart"/>
            <w:tcBorders>
              <w:top w:val="single" w:color="auto" w:sz="4" w:space="0"/>
              <w:left w:val="single" w:color="auto" w:sz="4" w:space="0"/>
              <w:right w:val="single" w:color="auto" w:sz="12" w:space="0"/>
            </w:tcBorders>
            <w:vAlign w:val="center"/>
          </w:tcPr>
          <w:p>
            <w:pPr>
              <w:autoSpaceDE w:val="0"/>
              <w:autoSpaceDN w:val="0"/>
              <w:adjustRightInd w:val="0"/>
              <w:snapToGrid w:val="0"/>
              <w:spacing w:line="460" w:lineRule="exact"/>
              <w:jc w:val="left"/>
              <w:rPr>
                <w:rFonts w:ascii="宋体" w:hAnsi="宋体" w:cs="宋体"/>
                <w:color w:val="auto"/>
                <w:kern w:val="0"/>
                <w:szCs w:val="21"/>
                <w:highlight w:val="none"/>
              </w:rPr>
            </w:pPr>
            <w:r>
              <w:rPr>
                <w:rFonts w:hint="eastAsia" w:ascii="宋体" w:hAnsi="宋体" w:cs="宋体"/>
                <w:color w:val="auto"/>
                <w:kern w:val="0"/>
                <w:szCs w:val="21"/>
                <w:highlight w:val="none"/>
              </w:rPr>
              <w:t>无在岗项目（指目前未在其他项目上任职，或虽在其他项目上任职但本项目中标后能够从该项目撤离）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17" w:hRule="atLeast"/>
        </w:trPr>
        <w:tc>
          <w:tcPr>
            <w:tcW w:w="378" w:type="dxa"/>
            <w:tcBorders>
              <w:top w:val="single" w:color="auto" w:sz="4" w:space="0"/>
              <w:left w:val="single" w:color="auto" w:sz="12" w:space="0"/>
              <w:bottom w:val="single" w:color="auto" w:sz="4" w:space="0"/>
              <w:right w:val="single" w:color="auto" w:sz="4" w:space="0"/>
            </w:tcBorders>
            <w:vAlign w:val="center"/>
          </w:tcPr>
          <w:p>
            <w:pPr>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107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60" w:lineRule="exact"/>
              <w:jc w:val="center"/>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项目总工</w:t>
            </w:r>
          </w:p>
        </w:tc>
        <w:tc>
          <w:tcPr>
            <w:tcW w:w="45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5368" w:type="dxa"/>
            <w:tcBorders>
              <w:top w:val="single" w:color="auto" w:sz="4" w:space="0"/>
              <w:left w:val="single" w:color="auto" w:sz="4" w:space="0"/>
              <w:right w:val="single" w:color="auto" w:sz="12" w:space="0"/>
            </w:tcBorders>
            <w:vAlign w:val="center"/>
          </w:tcPr>
          <w:p>
            <w:pPr>
              <w:autoSpaceDE w:val="0"/>
              <w:autoSpaceDN w:val="0"/>
              <w:adjustRightInd w:val="0"/>
              <w:snapToGrid w:val="0"/>
              <w:spacing w:line="460" w:lineRule="exact"/>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路桥相关专业高级工程师，主管类似工程技术工作岗位累计12个月，具有交通主管部门颁发的有效安全生产“三类人员”B类证书</w:t>
            </w:r>
            <w:r>
              <w:rPr>
                <w:rFonts w:hint="eastAsia" w:ascii="宋体" w:hAnsi="宋体" w:cs="宋体"/>
                <w:color w:val="auto"/>
                <w:kern w:val="0"/>
                <w:szCs w:val="21"/>
                <w:highlight w:val="none"/>
                <w:lang w:eastAsia="zh-CN"/>
              </w:rPr>
              <w:t>，年龄不超过60周岁</w:t>
            </w:r>
            <w:r>
              <w:rPr>
                <w:rFonts w:hint="eastAsia" w:ascii="宋体" w:hAnsi="宋体" w:cs="宋体"/>
                <w:color w:val="auto"/>
                <w:kern w:val="0"/>
                <w:szCs w:val="21"/>
                <w:highlight w:val="none"/>
              </w:rPr>
              <w:t>。</w:t>
            </w:r>
          </w:p>
        </w:tc>
        <w:tc>
          <w:tcPr>
            <w:tcW w:w="2148" w:type="dxa"/>
            <w:vMerge w:val="continue"/>
            <w:tcBorders>
              <w:left w:val="single" w:color="auto" w:sz="4" w:space="0"/>
              <w:right w:val="single" w:color="auto" w:sz="12" w:space="0"/>
            </w:tcBorders>
            <w:vAlign w:val="center"/>
          </w:tcPr>
          <w:p>
            <w:pPr>
              <w:autoSpaceDE w:val="0"/>
              <w:autoSpaceDN w:val="0"/>
              <w:adjustRightInd w:val="0"/>
              <w:snapToGrid w:val="0"/>
              <w:spacing w:line="460" w:lineRule="exact"/>
              <w:jc w:val="center"/>
              <w:rPr>
                <w:rFonts w:ascii="宋体" w:hAnsi="宋体" w:cs="宋体"/>
                <w:color w:val="auto"/>
                <w:kern w:val="0"/>
                <w:szCs w:val="21"/>
                <w:highlight w:val="none"/>
              </w:rPr>
            </w:pPr>
          </w:p>
        </w:tc>
      </w:tr>
    </w:tbl>
    <w:p>
      <w:pPr>
        <w:spacing w:line="360" w:lineRule="auto"/>
        <w:ind w:firstLine="420" w:firstLineChars="200"/>
        <w:rPr>
          <w:rFonts w:ascii="宋体" w:hAnsi="宋体" w:eastAsia="Times New Roman" w:cs="宋体"/>
          <w:color w:val="auto"/>
          <w:szCs w:val="21"/>
          <w:highlight w:val="none"/>
        </w:rPr>
      </w:pPr>
      <w:r>
        <w:rPr>
          <w:rFonts w:hint="eastAsia" w:ascii="宋体" w:hAnsi="宋体" w:eastAsia="Times New Roman" w:cs="宋体"/>
          <w:color w:val="auto"/>
          <w:szCs w:val="21"/>
          <w:highlight w:val="none"/>
        </w:rPr>
        <w:t>注：1.上述人员应提供在交通运输部“全国公路建设市场信用信息管理系统”中载明的、能够证明满足各项指标（即包括人员的“基本信息”、“职称信息”、“执业资格”、“个人业绩”等栏目在内）的网页截图复印件或网页打印件。</w:t>
      </w:r>
    </w:p>
    <w:p>
      <w:pPr>
        <w:spacing w:line="360" w:lineRule="auto"/>
        <w:ind w:firstLine="420" w:firstLineChars="200"/>
        <w:rPr>
          <w:rFonts w:ascii="宋体" w:hAnsi="宋体" w:eastAsia="Times New Roman" w:cs="宋体"/>
          <w:color w:val="auto"/>
          <w:szCs w:val="21"/>
          <w:highlight w:val="none"/>
        </w:rPr>
      </w:pPr>
      <w:r>
        <w:rPr>
          <w:rFonts w:hint="eastAsia" w:ascii="宋体" w:hAnsi="宋体" w:eastAsia="Times New Roman" w:cs="宋体"/>
          <w:color w:val="auto"/>
          <w:szCs w:val="21"/>
          <w:highlight w:val="none"/>
        </w:rPr>
        <w:t>2.投标人拟派出的项目经理、项目总工应当在投标文件中签字确认，无签名或能认定属冒充签名的投标文件按资格审查不通过处理。</w:t>
      </w:r>
    </w:p>
    <w:p>
      <w:pPr>
        <w:spacing w:line="360" w:lineRule="auto"/>
        <w:ind w:firstLine="420" w:firstLineChars="200"/>
        <w:rPr>
          <w:rFonts w:ascii="宋体" w:hAnsi="宋体" w:eastAsia="Times New Roman" w:cs="宋体"/>
          <w:color w:val="auto"/>
          <w:sz w:val="15"/>
          <w:szCs w:val="22"/>
          <w:highlight w:val="none"/>
        </w:rPr>
      </w:pPr>
      <w:r>
        <w:rPr>
          <w:rFonts w:hint="eastAsia" w:ascii="宋体" w:hAnsi="宋体" w:eastAsia="Times New Roman" w:cs="宋体"/>
          <w:color w:val="auto"/>
          <w:szCs w:val="21"/>
          <w:highlight w:val="none"/>
        </w:rPr>
        <w:t>3、主管技术工作指：担任过项目经理、项目副经理、总工程师、副总工程师、质检部门负责人、工程部门负责人。担任类似工程项目经理（或项目副经理或项目总工）岗位经验累计时间、主管类似工程技术工作岗位经验累计时间统计至月，计算时尾数如不少于 15 天的按 1 个月计，不足 15 天部分不计。</w:t>
      </w:r>
    </w:p>
    <w:p>
      <w:pPr>
        <w:spacing w:line="360" w:lineRule="auto"/>
        <w:ind w:firstLine="300" w:firstLineChars="200"/>
        <w:rPr>
          <w:rFonts w:ascii="宋体" w:hAnsi="宋体" w:eastAsia="Times New Roman" w:cs="宋体"/>
          <w:color w:val="auto"/>
          <w:sz w:val="15"/>
          <w:szCs w:val="22"/>
          <w:highlight w:val="none"/>
        </w:rPr>
      </w:pPr>
    </w:p>
    <w:p>
      <w:pPr>
        <w:rPr>
          <w:rFonts w:ascii="宋体" w:hAnsi="宋体" w:cs="宋体"/>
          <w:b/>
          <w:color w:val="auto"/>
          <w:szCs w:val="21"/>
          <w:highlight w:val="none"/>
        </w:rPr>
      </w:pPr>
      <w:r>
        <w:rPr>
          <w:rFonts w:hint="eastAsia" w:ascii="宋体" w:hAnsi="宋体" w:cs="宋体"/>
          <w:b/>
          <w:color w:val="auto"/>
          <w:szCs w:val="21"/>
          <w:highlight w:val="none"/>
        </w:rPr>
        <w:br w:type="page"/>
      </w:r>
    </w:p>
    <w:p>
      <w:pPr>
        <w:spacing w:after="120" w:afterLines="50"/>
        <w:jc w:val="center"/>
        <w:rPr>
          <w:rFonts w:ascii="宋体" w:hAnsi="宋体" w:cs="宋体"/>
          <w:color w:val="auto"/>
          <w:szCs w:val="21"/>
          <w:highlight w:val="none"/>
        </w:rPr>
      </w:pPr>
      <w:r>
        <w:rPr>
          <w:rFonts w:hint="eastAsia" w:ascii="宋体" w:hAnsi="宋体" w:cs="宋体"/>
          <w:b/>
          <w:color w:val="auto"/>
          <w:szCs w:val="21"/>
          <w:highlight w:val="none"/>
        </w:rPr>
        <w:t>附录6  资格审查条件</w:t>
      </w:r>
      <w:r>
        <w:rPr>
          <w:rFonts w:hint="eastAsia" w:ascii="宋体" w:hAnsi="宋体" w:cs="宋体"/>
          <w:color w:val="auto"/>
          <w:szCs w:val="21"/>
          <w:highlight w:val="none"/>
        </w:rPr>
        <w:t>（项目管理机构及人员）</w:t>
      </w:r>
    </w:p>
    <w:p>
      <w:pPr>
        <w:rPr>
          <w:rFonts w:ascii="宋体" w:hAnsi="宋体" w:cs="宋体"/>
          <w:color w:val="auto"/>
          <w:szCs w:val="21"/>
          <w:highlight w:val="none"/>
        </w:rPr>
      </w:pPr>
    </w:p>
    <w:tbl>
      <w:tblPr>
        <w:tblStyle w:val="6"/>
        <w:tblW w:w="842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87"/>
        <w:gridCol w:w="985"/>
        <w:gridCol w:w="565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87" w:type="dxa"/>
            <w:tcBorders>
              <w:top w:val="single" w:color="auto" w:sz="12" w:space="0"/>
              <w:left w:val="single" w:color="auto" w:sz="12"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人  员</w:t>
            </w:r>
          </w:p>
        </w:tc>
        <w:tc>
          <w:tcPr>
            <w:tcW w:w="985" w:type="dxa"/>
            <w:tcBorders>
              <w:top w:val="single" w:color="auto" w:sz="12"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数  量</w:t>
            </w:r>
          </w:p>
        </w:tc>
        <w:tc>
          <w:tcPr>
            <w:tcW w:w="5657" w:type="dxa"/>
            <w:tcBorders>
              <w:top w:val="single" w:color="auto" w:sz="12" w:space="0"/>
              <w:left w:val="single" w:color="auto" w:sz="4" w:space="0"/>
              <w:bottom w:val="single" w:color="auto" w:sz="4" w:space="0"/>
              <w:right w:val="single" w:color="auto" w:sz="12"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资 格 要 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87" w:type="dxa"/>
            <w:tcBorders>
              <w:top w:val="single" w:color="auto" w:sz="4" w:space="0"/>
              <w:left w:val="single" w:color="auto" w:sz="12" w:space="0"/>
              <w:right w:val="single" w:color="auto" w:sz="4" w:space="0"/>
            </w:tcBorders>
            <w:vAlign w:val="center"/>
          </w:tcPr>
          <w:p>
            <w:pPr>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质检工程师</w:t>
            </w:r>
          </w:p>
        </w:tc>
        <w:tc>
          <w:tcPr>
            <w:tcW w:w="9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5657" w:type="dxa"/>
            <w:tcBorders>
              <w:top w:val="single" w:color="auto" w:sz="4" w:space="0"/>
              <w:left w:val="single" w:color="auto" w:sz="4" w:space="0"/>
              <w:right w:val="single" w:color="auto" w:sz="12" w:space="0"/>
            </w:tcBorders>
            <w:vAlign w:val="center"/>
          </w:tcPr>
          <w:p>
            <w:pPr>
              <w:widowControl/>
              <w:jc w:val="left"/>
              <w:rPr>
                <w:rFonts w:ascii="宋体" w:hAnsi="宋体" w:cs="宋体"/>
                <w:color w:val="auto"/>
                <w:szCs w:val="21"/>
                <w:highlight w:val="none"/>
              </w:rPr>
            </w:pPr>
            <w:r>
              <w:rPr>
                <w:rFonts w:hint="eastAsia" w:ascii="宋体" w:hAnsi="宋体" w:cs="宋体"/>
                <w:color w:val="auto"/>
                <w:szCs w:val="21"/>
                <w:highlight w:val="none"/>
              </w:rPr>
              <w:t>路桥相关专业工程师，</w:t>
            </w:r>
            <w:r>
              <w:rPr>
                <w:rFonts w:hint="eastAsia" w:ascii="宋体" w:hAnsi="宋体" w:cs="宋体"/>
                <w:color w:val="auto"/>
                <w:kern w:val="0"/>
                <w:szCs w:val="21"/>
                <w:highlight w:val="none"/>
                <w:lang w:bidi="ar"/>
              </w:rPr>
              <w:t>累计 3 年从事类似工程施工经验。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87" w:type="dxa"/>
            <w:tcBorders>
              <w:top w:val="single" w:color="auto" w:sz="4" w:space="0"/>
              <w:left w:val="single" w:color="auto" w:sz="12" w:space="0"/>
              <w:right w:val="single" w:color="auto" w:sz="4" w:space="0"/>
            </w:tcBorders>
            <w:vAlign w:val="center"/>
          </w:tcPr>
          <w:p>
            <w:pPr>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计划工程师</w:t>
            </w:r>
          </w:p>
        </w:tc>
        <w:tc>
          <w:tcPr>
            <w:tcW w:w="9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5657" w:type="dxa"/>
            <w:tcBorders>
              <w:top w:val="single" w:color="auto" w:sz="4" w:space="0"/>
              <w:left w:val="single" w:color="auto" w:sz="4" w:space="0"/>
              <w:right w:val="single" w:color="auto" w:sz="12" w:space="0"/>
            </w:tcBorders>
            <w:vAlign w:val="center"/>
          </w:tcPr>
          <w:p>
            <w:pPr>
              <w:widowControl/>
              <w:jc w:val="left"/>
              <w:rPr>
                <w:rFonts w:ascii="宋体" w:hAnsi="宋体" w:cs="宋体"/>
                <w:color w:val="auto"/>
                <w:szCs w:val="21"/>
                <w:highlight w:val="none"/>
              </w:rPr>
            </w:pPr>
            <w:r>
              <w:rPr>
                <w:rFonts w:hint="eastAsia" w:ascii="宋体" w:hAnsi="宋体" w:cs="宋体"/>
                <w:color w:val="auto"/>
                <w:szCs w:val="21"/>
                <w:highlight w:val="none"/>
              </w:rPr>
              <w:t>路桥相关专业工程师，有负责计划累计 3 年类似工程的经  验，具有交通运输部（原交通部）颁发的</w:t>
            </w:r>
            <w:r>
              <w:rPr>
                <w:rFonts w:hint="eastAsia" w:ascii="宋体" w:hAnsi="宋体" w:cs="宋体"/>
                <w:color w:val="auto"/>
                <w:szCs w:val="21"/>
                <w:highlight w:val="none"/>
                <w:lang w:val="en-US" w:eastAsia="zh-CN"/>
              </w:rPr>
              <w:t>一级</w:t>
            </w:r>
            <w:r>
              <w:rPr>
                <w:rFonts w:hint="eastAsia" w:ascii="宋体" w:hAnsi="宋体" w:cs="宋体"/>
                <w:color w:val="auto"/>
                <w:szCs w:val="21"/>
                <w:highlight w:val="none"/>
              </w:rPr>
              <w:t>注册造价工程师证书或甲级造价人员证书。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87" w:type="dxa"/>
            <w:tcBorders>
              <w:top w:val="single" w:color="auto" w:sz="4" w:space="0"/>
              <w:left w:val="single" w:color="auto" w:sz="12" w:space="0"/>
              <w:right w:val="single" w:color="auto" w:sz="4" w:space="0"/>
            </w:tcBorders>
            <w:vAlign w:val="center"/>
          </w:tcPr>
          <w:p>
            <w:pPr>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道路工程师</w:t>
            </w:r>
          </w:p>
        </w:tc>
        <w:tc>
          <w:tcPr>
            <w:tcW w:w="9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5657" w:type="dxa"/>
            <w:tcBorders>
              <w:top w:val="single" w:color="auto" w:sz="4" w:space="0"/>
              <w:left w:val="single" w:color="auto" w:sz="4" w:space="0"/>
              <w:right w:val="single" w:color="auto" w:sz="12" w:space="0"/>
            </w:tcBorders>
            <w:vAlign w:val="center"/>
          </w:tcPr>
          <w:p>
            <w:pPr>
              <w:widowControl/>
              <w:jc w:val="left"/>
              <w:rPr>
                <w:rFonts w:ascii="宋体" w:hAnsi="宋体" w:cs="宋体"/>
                <w:color w:val="auto"/>
                <w:szCs w:val="21"/>
                <w:highlight w:val="none"/>
              </w:rPr>
            </w:pPr>
            <w:r>
              <w:rPr>
                <w:rFonts w:hint="eastAsia" w:ascii="宋体" w:hAnsi="宋体" w:cs="宋体"/>
                <w:color w:val="auto"/>
                <w:szCs w:val="21"/>
                <w:highlight w:val="none"/>
              </w:rPr>
              <w:t>路桥相关专业工程师，</w:t>
            </w:r>
            <w:r>
              <w:rPr>
                <w:rFonts w:hint="eastAsia" w:ascii="宋体" w:hAnsi="宋体" w:cs="宋体"/>
                <w:color w:val="auto"/>
                <w:kern w:val="0"/>
                <w:szCs w:val="21"/>
                <w:highlight w:val="none"/>
                <w:lang w:bidi="ar"/>
              </w:rPr>
              <w:t>累计 3 年从事类似工程施工经验。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87" w:type="dxa"/>
            <w:tcBorders>
              <w:top w:val="single" w:color="auto" w:sz="4" w:space="0"/>
              <w:left w:val="single" w:color="auto" w:sz="12" w:space="0"/>
              <w:right w:val="single" w:color="auto" w:sz="4" w:space="0"/>
            </w:tcBorders>
            <w:vAlign w:val="center"/>
          </w:tcPr>
          <w:p>
            <w:pPr>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测量工程师</w:t>
            </w:r>
          </w:p>
        </w:tc>
        <w:tc>
          <w:tcPr>
            <w:tcW w:w="9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5657" w:type="dxa"/>
            <w:tcBorders>
              <w:top w:val="single" w:color="auto" w:sz="4" w:space="0"/>
              <w:left w:val="single" w:color="auto" w:sz="4" w:space="0"/>
              <w:right w:val="single" w:color="auto" w:sz="12" w:space="0"/>
            </w:tcBorders>
            <w:vAlign w:val="center"/>
          </w:tcPr>
          <w:p>
            <w:pPr>
              <w:rPr>
                <w:rFonts w:ascii="宋体" w:hAnsi="宋体" w:cs="宋体"/>
                <w:color w:val="auto"/>
                <w:szCs w:val="21"/>
                <w:highlight w:val="none"/>
              </w:rPr>
            </w:pPr>
            <w:r>
              <w:rPr>
                <w:rFonts w:hint="eastAsia" w:ascii="宋体" w:hAnsi="宋体" w:cs="宋体"/>
                <w:color w:val="auto"/>
                <w:szCs w:val="21"/>
                <w:highlight w:val="none"/>
              </w:rPr>
              <w:t>工程师，</w:t>
            </w:r>
            <w:r>
              <w:rPr>
                <w:rFonts w:hint="eastAsia" w:ascii="宋体" w:hAnsi="宋体" w:cs="宋体"/>
                <w:color w:val="auto"/>
                <w:kern w:val="0"/>
                <w:szCs w:val="21"/>
                <w:highlight w:val="none"/>
                <w:lang w:bidi="ar"/>
              </w:rPr>
              <w:t>累计 3 年从事类似工程工作经验。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54" w:hRule="atLeast"/>
          <w:jc w:val="center"/>
        </w:trPr>
        <w:tc>
          <w:tcPr>
            <w:tcW w:w="1787" w:type="dxa"/>
            <w:tcBorders>
              <w:top w:val="single" w:color="auto" w:sz="4" w:space="0"/>
              <w:left w:val="single" w:color="auto" w:sz="12" w:space="0"/>
              <w:right w:val="single" w:color="auto" w:sz="4" w:space="0"/>
            </w:tcBorders>
            <w:vAlign w:val="center"/>
          </w:tcPr>
          <w:p>
            <w:pPr>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试验工程师</w:t>
            </w:r>
          </w:p>
        </w:tc>
        <w:tc>
          <w:tcPr>
            <w:tcW w:w="9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5657" w:type="dxa"/>
            <w:tcBorders>
              <w:top w:val="single" w:color="auto" w:sz="4" w:space="0"/>
              <w:left w:val="single" w:color="auto" w:sz="4" w:space="0"/>
              <w:right w:val="single" w:color="auto" w:sz="12" w:space="0"/>
            </w:tcBorders>
            <w:vAlign w:val="center"/>
          </w:tcPr>
          <w:p>
            <w:pPr>
              <w:widowControl/>
              <w:jc w:val="left"/>
              <w:rPr>
                <w:rFonts w:ascii="宋体" w:hAnsi="宋体" w:cs="宋体"/>
                <w:color w:val="auto"/>
                <w:szCs w:val="21"/>
                <w:highlight w:val="none"/>
              </w:rPr>
            </w:pPr>
            <w:r>
              <w:rPr>
                <w:rFonts w:hint="eastAsia" w:ascii="宋体" w:hAnsi="宋体" w:cs="宋体"/>
                <w:color w:val="auto"/>
                <w:szCs w:val="21"/>
                <w:highlight w:val="none"/>
              </w:rPr>
              <w:t>工程师，持有在有效期内的交通运输部工程质量监督局（原交通运输部基本建设质量监督总站）颁发的试验检测工程师资格证书或交通运输部职业资格中心颁发的公路水运试验检测师资格证书，累计 3 年从事类似工程经验。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87" w:type="dxa"/>
            <w:tcBorders>
              <w:top w:val="single" w:color="auto" w:sz="4" w:space="0"/>
              <w:left w:val="single" w:color="auto" w:sz="12" w:space="0"/>
              <w:right w:val="single" w:color="auto" w:sz="4" w:space="0"/>
            </w:tcBorders>
            <w:vAlign w:val="center"/>
          </w:tcPr>
          <w:p>
            <w:pPr>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财务负责人</w:t>
            </w:r>
          </w:p>
        </w:tc>
        <w:tc>
          <w:tcPr>
            <w:tcW w:w="9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5657" w:type="dxa"/>
            <w:tcBorders>
              <w:top w:val="single" w:color="auto" w:sz="4" w:space="0"/>
              <w:left w:val="single" w:color="auto" w:sz="4" w:space="0"/>
              <w:right w:val="single" w:color="auto" w:sz="12" w:space="0"/>
            </w:tcBorders>
            <w:vAlign w:val="center"/>
          </w:tcPr>
          <w:p>
            <w:pPr>
              <w:rPr>
                <w:rFonts w:ascii="宋体" w:hAnsi="宋体" w:cs="宋体"/>
                <w:color w:val="auto"/>
                <w:szCs w:val="21"/>
                <w:highlight w:val="none"/>
              </w:rPr>
            </w:pPr>
            <w:r>
              <w:rPr>
                <w:rFonts w:hint="eastAsia" w:ascii="宋体" w:hAnsi="宋体" w:cs="宋体"/>
                <w:color w:val="auto"/>
                <w:szCs w:val="21"/>
                <w:highlight w:val="none"/>
                <w:lang w:val="en-US" w:eastAsia="zh-CN"/>
              </w:rPr>
              <w:t>助理</w:t>
            </w:r>
            <w:r>
              <w:rPr>
                <w:rFonts w:hint="eastAsia" w:ascii="宋体" w:hAnsi="宋体" w:cs="宋体"/>
                <w:color w:val="auto"/>
                <w:szCs w:val="21"/>
                <w:highlight w:val="none"/>
              </w:rPr>
              <w:t>会计师，累计3年从事类似工程经验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87" w:type="dxa"/>
            <w:tcBorders>
              <w:top w:val="single" w:color="auto" w:sz="4" w:space="0"/>
              <w:left w:val="single" w:color="auto" w:sz="12" w:space="0"/>
              <w:bottom w:val="single" w:color="auto" w:sz="4" w:space="0"/>
              <w:right w:val="single" w:color="auto" w:sz="4" w:space="0"/>
            </w:tcBorders>
            <w:vAlign w:val="center"/>
          </w:tcPr>
          <w:p>
            <w:pPr>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专职安全生产管理人员</w:t>
            </w:r>
          </w:p>
        </w:tc>
        <w:tc>
          <w:tcPr>
            <w:tcW w:w="9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5657" w:type="dxa"/>
            <w:tcBorders>
              <w:top w:val="single" w:color="auto" w:sz="4" w:space="0"/>
              <w:left w:val="single" w:color="auto" w:sz="4" w:space="0"/>
              <w:bottom w:val="single" w:color="auto" w:sz="4" w:space="0"/>
              <w:right w:val="single" w:color="auto" w:sz="12" w:space="0"/>
            </w:tcBorders>
            <w:vAlign w:val="center"/>
          </w:tcPr>
          <w:p>
            <w:pPr>
              <w:jc w:val="left"/>
              <w:rPr>
                <w:rFonts w:ascii="宋体" w:hAnsi="宋体" w:cs="宋体"/>
                <w:color w:val="auto"/>
                <w:szCs w:val="21"/>
                <w:highlight w:val="none"/>
              </w:rPr>
            </w:pPr>
            <w:r>
              <w:rPr>
                <w:rFonts w:hint="eastAsia" w:ascii="宋体" w:hAnsi="宋体" w:cs="宋体"/>
                <w:color w:val="auto"/>
                <w:szCs w:val="21"/>
                <w:highlight w:val="none"/>
              </w:rPr>
              <w:t>具有交通主管部门颁发的安全生产“三类人员”C类证书，累计 3 年从事类似工程施工经验。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87" w:type="dxa"/>
            <w:tcBorders>
              <w:top w:val="single" w:color="auto" w:sz="4" w:space="0"/>
              <w:left w:val="single" w:color="auto" w:sz="12" w:space="0"/>
              <w:bottom w:val="single" w:color="auto" w:sz="4" w:space="0"/>
              <w:right w:val="single" w:color="auto" w:sz="4" w:space="0"/>
            </w:tcBorders>
            <w:vAlign w:val="center"/>
          </w:tcPr>
          <w:p>
            <w:pPr>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资料员</w:t>
            </w:r>
          </w:p>
        </w:tc>
        <w:tc>
          <w:tcPr>
            <w:tcW w:w="9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5657" w:type="dxa"/>
            <w:tcBorders>
              <w:top w:val="single" w:color="auto" w:sz="4" w:space="0"/>
              <w:left w:val="single" w:color="auto" w:sz="4" w:space="0"/>
              <w:bottom w:val="single" w:color="auto" w:sz="4" w:space="0"/>
              <w:right w:val="single" w:color="auto" w:sz="12" w:space="0"/>
            </w:tcBorders>
            <w:vAlign w:val="center"/>
          </w:tcPr>
          <w:p>
            <w:pPr>
              <w:rPr>
                <w:rFonts w:ascii="宋体" w:hAnsi="宋体" w:cs="宋体"/>
                <w:color w:val="auto"/>
                <w:szCs w:val="21"/>
                <w:highlight w:val="none"/>
              </w:rPr>
            </w:pPr>
            <w:r>
              <w:rPr>
                <w:rFonts w:hint="eastAsia" w:ascii="宋体" w:hAnsi="宋体" w:cs="宋体"/>
                <w:color w:val="auto"/>
                <w:szCs w:val="21"/>
                <w:highlight w:val="none"/>
              </w:rPr>
              <w:t>资料员，累计 3 年从事类似工程</w:t>
            </w:r>
            <w:r>
              <w:rPr>
                <w:rFonts w:hint="eastAsia" w:ascii="宋体" w:hAnsi="宋体" w:cs="宋体"/>
                <w:color w:val="auto"/>
                <w:szCs w:val="21"/>
                <w:highlight w:val="none"/>
                <w:lang w:eastAsia="zh-CN"/>
              </w:rPr>
              <w:t>工作</w:t>
            </w:r>
            <w:r>
              <w:rPr>
                <w:rFonts w:hint="eastAsia" w:ascii="宋体" w:hAnsi="宋体" w:cs="宋体"/>
                <w:color w:val="auto"/>
                <w:szCs w:val="21"/>
                <w:highlight w:val="none"/>
              </w:rPr>
              <w:t>经验。</w:t>
            </w:r>
          </w:p>
        </w:tc>
      </w:tr>
    </w:tbl>
    <w:p>
      <w:pPr>
        <w:spacing w:after="120" w:afterLines="50"/>
        <w:jc w:val="center"/>
        <w:rPr>
          <w:rFonts w:hint="eastAsia"/>
          <w:color w:val="auto"/>
          <w:sz w:val="21"/>
          <w:szCs w:val="21"/>
          <w:highlight w:val="none"/>
        </w:rPr>
      </w:pPr>
    </w:p>
    <w:p>
      <w:pPr>
        <w:spacing w:after="120" w:afterLines="50" w:line="360" w:lineRule="auto"/>
        <w:jc w:val="left"/>
        <w:rPr>
          <w:rFonts w:hint="default" w:eastAsia="宋体"/>
          <w:color w:val="auto"/>
          <w:sz w:val="21"/>
          <w:szCs w:val="21"/>
          <w:highlight w:val="none"/>
          <w:lang w:val="en-US" w:eastAsia="zh-CN"/>
        </w:rPr>
      </w:pPr>
      <w:r>
        <w:rPr>
          <w:rFonts w:hint="eastAsia"/>
          <w:color w:val="auto"/>
          <w:sz w:val="21"/>
          <w:szCs w:val="21"/>
          <w:highlight w:val="none"/>
          <w:lang w:val="en-US" w:eastAsia="zh-CN"/>
        </w:rPr>
        <w:t xml:space="preserve">  </w:t>
      </w:r>
      <w:r>
        <w:rPr>
          <w:rFonts w:hint="eastAsia"/>
          <w:color w:val="auto"/>
          <w:sz w:val="21"/>
          <w:szCs w:val="21"/>
          <w:highlight w:val="none"/>
        </w:rPr>
        <w:t>注</w:t>
      </w:r>
      <w:r>
        <w:rPr>
          <w:rFonts w:hint="eastAsia"/>
          <w:color w:val="auto"/>
          <w:sz w:val="21"/>
          <w:szCs w:val="21"/>
          <w:highlight w:val="none"/>
          <w:lang w:eastAsia="zh-CN"/>
        </w:rPr>
        <w:t>：</w:t>
      </w:r>
      <w:r>
        <w:rPr>
          <w:rFonts w:hint="eastAsia"/>
          <w:color w:val="auto"/>
          <w:sz w:val="21"/>
          <w:szCs w:val="21"/>
          <w:highlight w:val="none"/>
          <w:lang w:val="en-US" w:eastAsia="zh-CN"/>
        </w:rPr>
        <w:t>1、附录6所要求人员须按投标函的格式承诺，中标人在进场前向招标人提交实际投入人员。</w:t>
      </w:r>
    </w:p>
    <w:p>
      <w:pPr>
        <w:spacing w:after="120" w:afterLines="50" w:line="360" w:lineRule="auto"/>
        <w:jc w:val="left"/>
        <w:rPr>
          <w:rFonts w:ascii="宋体" w:hAnsi="宋体" w:cs="宋体"/>
          <w:color w:val="auto"/>
          <w:szCs w:val="21"/>
          <w:highlight w:val="none"/>
        </w:rPr>
      </w:pPr>
      <w:r>
        <w:rPr>
          <w:rFonts w:hint="eastAsia"/>
          <w:color w:val="auto"/>
          <w:sz w:val="21"/>
          <w:szCs w:val="21"/>
          <w:highlight w:val="none"/>
          <w:lang w:val="en-US" w:eastAsia="zh-CN"/>
        </w:rPr>
        <w:t>2、</w:t>
      </w:r>
      <w:r>
        <w:rPr>
          <w:rFonts w:hint="eastAsia"/>
          <w:color w:val="auto"/>
          <w:szCs w:val="21"/>
          <w:highlight w:val="none"/>
        </w:rPr>
        <w:t>申请人中标后专职安全生产管理人员的配备应按照交通部《公路水运工程安全生产监督管理办法(交通运输部令2017年第25号)的要求执行。招标人可根据项目的工期和进度，按规定设置最低的专职安全生产管理人员数量要求。</w:t>
      </w:r>
      <w:r>
        <w:rPr>
          <w:rFonts w:hint="eastAsia" w:ascii="宋体" w:hAnsi="宋体" w:cs="宋体"/>
          <w:b/>
          <w:bCs/>
          <w:color w:val="auto"/>
          <w:sz w:val="24"/>
          <w:highlight w:val="none"/>
        </w:rPr>
        <w:br w:type="page"/>
      </w:r>
      <w:r>
        <w:rPr>
          <w:rFonts w:hint="eastAsia" w:ascii="宋体" w:hAnsi="宋体" w:cs="宋体"/>
          <w:b/>
          <w:color w:val="auto"/>
          <w:szCs w:val="21"/>
          <w:highlight w:val="none"/>
        </w:rPr>
        <w:t>附录</w:t>
      </w:r>
      <w:r>
        <w:rPr>
          <w:rFonts w:hint="eastAsia" w:ascii="宋体" w:hAnsi="宋体" w:cs="宋体"/>
          <w:b/>
          <w:color w:val="auto"/>
          <w:szCs w:val="21"/>
          <w:highlight w:val="none"/>
          <w:lang w:val="en-US" w:eastAsia="zh-CN"/>
        </w:rPr>
        <w:t>7</w:t>
      </w:r>
      <w:r>
        <w:rPr>
          <w:rFonts w:hint="eastAsia" w:ascii="宋体" w:hAnsi="宋体" w:cs="宋体"/>
          <w:b/>
          <w:color w:val="auto"/>
          <w:szCs w:val="21"/>
          <w:highlight w:val="none"/>
        </w:rPr>
        <w:t xml:space="preserve">  资格审查条件</w:t>
      </w:r>
      <w:r>
        <w:rPr>
          <w:rFonts w:hint="eastAsia" w:ascii="宋体" w:hAnsi="宋体" w:cs="宋体"/>
          <w:color w:val="auto"/>
          <w:szCs w:val="21"/>
          <w:highlight w:val="none"/>
        </w:rPr>
        <w:t>（</w:t>
      </w:r>
      <w:r>
        <w:rPr>
          <w:rFonts w:hint="eastAsia" w:ascii="宋体" w:hAnsi="宋体" w:cs="宋体"/>
          <w:color w:val="auto"/>
          <w:szCs w:val="21"/>
          <w:highlight w:val="none"/>
          <w:lang w:eastAsia="zh-CN"/>
        </w:rPr>
        <w:t>主要设备最低要求</w:t>
      </w:r>
      <w:r>
        <w:rPr>
          <w:rFonts w:hint="eastAsia" w:ascii="宋体" w:hAnsi="宋体" w:cs="宋体"/>
          <w:color w:val="auto"/>
          <w:szCs w:val="21"/>
          <w:highlight w:val="none"/>
        </w:rPr>
        <w:t>）</w:t>
      </w:r>
    </w:p>
    <w:tbl>
      <w:tblPr>
        <w:tblStyle w:val="6"/>
        <w:tblW w:w="101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2689"/>
        <w:gridCol w:w="2723"/>
        <w:gridCol w:w="1166"/>
        <w:gridCol w:w="3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5"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序号</w:t>
            </w:r>
          </w:p>
        </w:tc>
        <w:tc>
          <w:tcPr>
            <w:tcW w:w="2689"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设备名称</w:t>
            </w:r>
          </w:p>
        </w:tc>
        <w:tc>
          <w:tcPr>
            <w:tcW w:w="2723"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规格、功率及容量</w:t>
            </w:r>
          </w:p>
        </w:tc>
        <w:tc>
          <w:tcPr>
            <w:tcW w:w="1166"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单位</w:t>
            </w:r>
          </w:p>
        </w:tc>
        <w:tc>
          <w:tcPr>
            <w:tcW w:w="3089"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最低数量要求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平地机</w:t>
            </w:r>
          </w:p>
        </w:tc>
        <w:tc>
          <w:tcPr>
            <w:tcW w:w="2723" w:type="dxa"/>
            <w:noWrap w:val="0"/>
            <w:vAlign w:val="center"/>
          </w:tcPr>
          <w:p>
            <w:pPr>
              <w:jc w:val="center"/>
              <w:rPr>
                <w:rFonts w:ascii="宋体" w:hAnsi="宋体" w:cs="宋体"/>
                <w:color w:val="auto"/>
                <w:szCs w:val="21"/>
                <w:highlight w:val="none"/>
              </w:rPr>
            </w:pPr>
            <w:r>
              <w:rPr>
                <w:rFonts w:ascii="Arial" w:hAnsi="Arial" w:cs="Arial"/>
                <w:color w:val="auto"/>
                <w:highlight w:val="none"/>
              </w:rPr>
              <w:t>≥</w:t>
            </w:r>
            <w:r>
              <w:rPr>
                <w:rFonts w:hint="eastAsia"/>
                <w:color w:val="auto"/>
                <w:highlight w:val="none"/>
              </w:rPr>
              <w:t>180KW</w:t>
            </w:r>
          </w:p>
        </w:tc>
        <w:tc>
          <w:tcPr>
            <w:tcW w:w="1166" w:type="dxa"/>
            <w:noWrap w:val="0"/>
            <w:vAlign w:val="center"/>
          </w:tcPr>
          <w:p>
            <w:pPr>
              <w:widowControl/>
              <w:jc w:val="center"/>
              <w:rPr>
                <w:rFonts w:hint="eastAsia"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hint="eastAsia" w:ascii="宋体" w:hAnsi="宋体" w:cs="宋体"/>
                <w:color w:val="auto"/>
                <w:szCs w:val="21"/>
                <w:highlight w:val="none"/>
              </w:rPr>
            </w:pPr>
            <w:r>
              <w:rPr>
                <w:rFonts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2</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振动压路机</w:t>
            </w:r>
          </w:p>
        </w:tc>
        <w:tc>
          <w:tcPr>
            <w:tcW w:w="2723" w:type="dxa"/>
            <w:noWrap w:val="0"/>
            <w:vAlign w:val="center"/>
          </w:tcPr>
          <w:p>
            <w:pPr>
              <w:jc w:val="center"/>
              <w:rPr>
                <w:rFonts w:ascii="宋体" w:hAnsi="宋体" w:cs="宋体"/>
                <w:color w:val="auto"/>
                <w:szCs w:val="21"/>
                <w:highlight w:val="none"/>
              </w:rPr>
            </w:pPr>
            <w:r>
              <w:rPr>
                <w:rFonts w:hint="eastAsia"/>
                <w:color w:val="auto"/>
                <w:highlight w:val="none"/>
              </w:rPr>
              <w:t>≥25T</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3</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装载机</w:t>
            </w:r>
          </w:p>
        </w:tc>
        <w:tc>
          <w:tcPr>
            <w:tcW w:w="2723" w:type="dxa"/>
            <w:noWrap w:val="0"/>
            <w:vAlign w:val="center"/>
          </w:tcPr>
          <w:p>
            <w:pPr>
              <w:jc w:val="center"/>
              <w:rPr>
                <w:rFonts w:ascii="宋体" w:hAnsi="宋体" w:cs="宋体"/>
                <w:color w:val="auto"/>
                <w:szCs w:val="21"/>
                <w:highlight w:val="none"/>
              </w:rPr>
            </w:pPr>
            <w:r>
              <w:rPr>
                <w:rFonts w:ascii="Arial" w:hAnsi="Arial" w:cs="Arial"/>
                <w:color w:val="auto"/>
                <w:highlight w:val="none"/>
              </w:rPr>
              <w:t>≥</w:t>
            </w:r>
            <w:r>
              <w:rPr>
                <w:rFonts w:hint="eastAsia"/>
                <w:color w:val="auto"/>
                <w:highlight w:val="none"/>
              </w:rPr>
              <w:t>2m</w:t>
            </w:r>
            <w:r>
              <w:rPr>
                <w:rFonts w:hint="eastAsia" w:ascii="宋体" w:hAnsi="宋体" w:cs="宋体"/>
                <w:color w:val="auto"/>
                <w:highlight w:val="none"/>
              </w:rPr>
              <w:t>³</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4</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挖掘机</w:t>
            </w:r>
          </w:p>
        </w:tc>
        <w:tc>
          <w:tcPr>
            <w:tcW w:w="2723" w:type="dxa"/>
            <w:noWrap w:val="0"/>
            <w:vAlign w:val="center"/>
          </w:tcPr>
          <w:p>
            <w:pPr>
              <w:jc w:val="center"/>
              <w:rPr>
                <w:rFonts w:ascii="宋体" w:hAnsi="宋体" w:cs="宋体"/>
                <w:color w:val="auto"/>
                <w:szCs w:val="21"/>
                <w:highlight w:val="none"/>
              </w:rPr>
            </w:pPr>
            <w:r>
              <w:rPr>
                <w:rFonts w:hint="eastAsia"/>
                <w:color w:val="auto"/>
                <w:highlight w:val="none"/>
              </w:rPr>
              <w:t>≥1.0m</w:t>
            </w:r>
            <w:r>
              <w:rPr>
                <w:rFonts w:hint="eastAsia" w:ascii="宋体" w:hAnsi="宋体" w:cs="宋体"/>
                <w:color w:val="auto"/>
                <w:highlight w:val="none"/>
              </w:rPr>
              <w:t>³</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5</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推土机</w:t>
            </w:r>
          </w:p>
        </w:tc>
        <w:tc>
          <w:tcPr>
            <w:tcW w:w="2723" w:type="dxa"/>
            <w:noWrap w:val="0"/>
            <w:vAlign w:val="center"/>
          </w:tcPr>
          <w:p>
            <w:pPr>
              <w:jc w:val="center"/>
              <w:rPr>
                <w:rFonts w:ascii="宋体" w:hAnsi="宋体" w:cs="宋体"/>
                <w:color w:val="auto"/>
                <w:szCs w:val="21"/>
                <w:highlight w:val="none"/>
              </w:rPr>
            </w:pPr>
            <w:r>
              <w:rPr>
                <w:rFonts w:hint="eastAsia"/>
                <w:color w:val="auto"/>
                <w:highlight w:val="none"/>
              </w:rPr>
              <w:t>≥220 KW</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5"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6</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自卸汽车</w:t>
            </w:r>
          </w:p>
        </w:tc>
        <w:tc>
          <w:tcPr>
            <w:tcW w:w="2723" w:type="dxa"/>
            <w:noWrap w:val="0"/>
            <w:vAlign w:val="center"/>
          </w:tcPr>
          <w:p>
            <w:pPr>
              <w:jc w:val="center"/>
              <w:rPr>
                <w:rFonts w:ascii="宋体" w:hAnsi="宋体" w:cs="宋体"/>
                <w:color w:val="auto"/>
                <w:szCs w:val="21"/>
                <w:highlight w:val="none"/>
              </w:rPr>
            </w:pPr>
            <w:r>
              <w:rPr>
                <w:rFonts w:hint="eastAsia"/>
                <w:color w:val="auto"/>
                <w:highlight w:val="none"/>
              </w:rPr>
              <w:t>1 0m3</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7</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冲击钻</w:t>
            </w:r>
          </w:p>
        </w:tc>
        <w:tc>
          <w:tcPr>
            <w:tcW w:w="2723" w:type="dxa"/>
            <w:noWrap w:val="0"/>
            <w:vAlign w:val="center"/>
          </w:tcPr>
          <w:p>
            <w:pPr>
              <w:jc w:val="center"/>
              <w:rPr>
                <w:rFonts w:ascii="宋体" w:hAnsi="宋体" w:cs="宋体"/>
                <w:color w:val="auto"/>
                <w:szCs w:val="21"/>
                <w:highlight w:val="none"/>
              </w:rPr>
            </w:pP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hint="eastAsia" w:ascii="宋体" w:hAnsi="宋体" w:cs="宋体"/>
                <w:color w:val="auto"/>
                <w:szCs w:val="21"/>
                <w:highlight w:val="none"/>
              </w:rPr>
            </w:pPr>
            <w:r>
              <w:rPr>
                <w:rFonts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8</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吊车</w:t>
            </w:r>
          </w:p>
        </w:tc>
        <w:tc>
          <w:tcPr>
            <w:tcW w:w="2723" w:type="dxa"/>
            <w:noWrap w:val="0"/>
            <w:vAlign w:val="center"/>
          </w:tcPr>
          <w:p>
            <w:pPr>
              <w:jc w:val="center"/>
              <w:rPr>
                <w:rFonts w:ascii="宋体" w:hAnsi="宋体" w:cs="宋体"/>
                <w:color w:val="auto"/>
                <w:szCs w:val="21"/>
                <w:highlight w:val="none"/>
              </w:rPr>
            </w:pPr>
            <w:r>
              <w:rPr>
                <w:rFonts w:hint="eastAsia"/>
                <w:color w:val="auto"/>
                <w:highlight w:val="none"/>
              </w:rPr>
              <w:t>大于25T</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9</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混凝土搅拌运输车</w:t>
            </w:r>
          </w:p>
        </w:tc>
        <w:tc>
          <w:tcPr>
            <w:tcW w:w="2723" w:type="dxa"/>
            <w:noWrap w:val="0"/>
            <w:vAlign w:val="center"/>
          </w:tcPr>
          <w:p>
            <w:pPr>
              <w:jc w:val="center"/>
              <w:rPr>
                <w:rFonts w:ascii="宋体" w:hAnsi="宋体" w:cs="宋体"/>
                <w:color w:val="auto"/>
                <w:szCs w:val="21"/>
                <w:highlight w:val="none"/>
              </w:rPr>
            </w:pPr>
            <w:r>
              <w:rPr>
                <w:rFonts w:ascii="Arial" w:hAnsi="Arial" w:cs="Arial"/>
                <w:color w:val="auto"/>
                <w:highlight w:val="none"/>
              </w:rPr>
              <w:t>≥</w:t>
            </w:r>
            <w:r>
              <w:rPr>
                <w:rFonts w:hint="eastAsia"/>
                <w:color w:val="auto"/>
                <w:highlight w:val="none"/>
              </w:rPr>
              <w:t>6m</w:t>
            </w:r>
            <w:r>
              <w:rPr>
                <w:rFonts w:hint="eastAsia" w:ascii="宋体" w:hAnsi="宋体" w:cs="宋体"/>
                <w:color w:val="auto"/>
                <w:highlight w:val="none"/>
              </w:rPr>
              <w:t>³</w:t>
            </w:r>
          </w:p>
        </w:tc>
        <w:tc>
          <w:tcPr>
            <w:tcW w:w="1166" w:type="dxa"/>
            <w:noWrap w:val="0"/>
            <w:vAlign w:val="center"/>
          </w:tcPr>
          <w:p>
            <w:pPr>
              <w:widowControl/>
              <w:jc w:val="center"/>
              <w:rPr>
                <w:rFonts w:hint="eastAsia" w:ascii="宋体" w:hAnsi="宋体" w:cs="宋体"/>
                <w:color w:val="auto"/>
                <w:szCs w:val="21"/>
                <w:highlight w:val="none"/>
              </w:rPr>
            </w:pPr>
            <w:r>
              <w:rPr>
                <w:rFonts w:hint="eastAsia" w:ascii="宋体" w:hAnsi="宋体" w:cs="宋体"/>
                <w:color w:val="auto"/>
                <w:szCs w:val="21"/>
                <w:highlight w:val="none"/>
              </w:rPr>
              <w:t>辆</w:t>
            </w:r>
          </w:p>
        </w:tc>
        <w:tc>
          <w:tcPr>
            <w:tcW w:w="3089" w:type="dxa"/>
            <w:noWrap w:val="0"/>
            <w:vAlign w:val="center"/>
          </w:tcPr>
          <w:p>
            <w:pPr>
              <w:widowControl/>
              <w:jc w:val="center"/>
              <w:rPr>
                <w:rFonts w:ascii="宋体" w:hAnsi="宋体" w:cs="宋体"/>
                <w:color w:val="auto"/>
                <w:szCs w:val="21"/>
                <w:highlight w:val="none"/>
              </w:rPr>
            </w:pPr>
            <w:r>
              <w:rPr>
                <w:rFonts w:ascii="宋体" w:hAnsi="宋体" w:cs="宋体"/>
                <w:color w:val="auto"/>
                <w:szCs w:val="21"/>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10</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混凝土搅拌站(自动计量)</w:t>
            </w:r>
          </w:p>
        </w:tc>
        <w:tc>
          <w:tcPr>
            <w:tcW w:w="2723" w:type="dxa"/>
            <w:noWrap w:val="0"/>
            <w:vAlign w:val="center"/>
          </w:tcPr>
          <w:p>
            <w:pPr>
              <w:jc w:val="center"/>
              <w:rPr>
                <w:rFonts w:ascii="宋体" w:hAnsi="宋体" w:cs="宋体"/>
                <w:color w:val="auto"/>
                <w:szCs w:val="21"/>
                <w:highlight w:val="none"/>
              </w:rPr>
            </w:pPr>
            <w:r>
              <w:rPr>
                <w:rFonts w:hint="eastAsia"/>
                <w:color w:val="auto"/>
                <w:highlight w:val="none"/>
              </w:rPr>
              <w:t>60m</w:t>
            </w:r>
            <w:r>
              <w:rPr>
                <w:rFonts w:hint="eastAsia" w:ascii="宋体" w:hAnsi="宋体" w:cs="宋体"/>
                <w:color w:val="auto"/>
                <w:highlight w:val="none"/>
              </w:rPr>
              <w:t>³</w:t>
            </w:r>
            <w:r>
              <w:rPr>
                <w:rFonts w:hint="eastAsia"/>
                <w:color w:val="auto"/>
                <w:highlight w:val="none"/>
              </w:rPr>
              <w:t>/h</w:t>
            </w:r>
          </w:p>
        </w:tc>
        <w:tc>
          <w:tcPr>
            <w:tcW w:w="1166" w:type="dxa"/>
            <w:noWrap w:val="0"/>
            <w:vAlign w:val="center"/>
          </w:tcPr>
          <w:p>
            <w:pPr>
              <w:widowControl/>
              <w:jc w:val="center"/>
              <w:rPr>
                <w:rFonts w:hint="eastAsia" w:ascii="宋体" w:hAnsi="宋体" w:cs="宋体"/>
                <w:color w:val="auto"/>
                <w:szCs w:val="21"/>
                <w:highlight w:val="none"/>
              </w:rPr>
            </w:pPr>
            <w:r>
              <w:rPr>
                <w:rFonts w:hint="eastAsia" w:ascii="宋体" w:hAnsi="宋体" w:cs="宋体"/>
                <w:color w:val="auto"/>
                <w:szCs w:val="21"/>
                <w:highlight w:val="none"/>
              </w:rPr>
              <w:t>座</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525" w:type="dxa"/>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11</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双钢轮压路机</w:t>
            </w:r>
          </w:p>
        </w:tc>
        <w:tc>
          <w:tcPr>
            <w:tcW w:w="2723" w:type="dxa"/>
            <w:noWrap w:val="0"/>
            <w:vAlign w:val="center"/>
          </w:tcPr>
          <w:p>
            <w:pPr>
              <w:jc w:val="center"/>
              <w:rPr>
                <w:rFonts w:ascii="宋体" w:hAnsi="宋体" w:cs="宋体"/>
                <w:color w:val="auto"/>
                <w:szCs w:val="21"/>
                <w:highlight w:val="none"/>
              </w:rPr>
            </w:pPr>
            <w:r>
              <w:rPr>
                <w:rFonts w:hint="eastAsia"/>
                <w:color w:val="auto"/>
                <w:highlight w:val="none"/>
              </w:rPr>
              <w:t>≥10T</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12</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胶轮压路机</w:t>
            </w:r>
          </w:p>
        </w:tc>
        <w:tc>
          <w:tcPr>
            <w:tcW w:w="2723" w:type="dxa"/>
            <w:noWrap w:val="0"/>
            <w:vAlign w:val="center"/>
          </w:tcPr>
          <w:p>
            <w:pPr>
              <w:jc w:val="center"/>
              <w:rPr>
                <w:rFonts w:ascii="宋体" w:hAnsi="宋体" w:cs="宋体"/>
                <w:color w:val="auto"/>
                <w:szCs w:val="21"/>
                <w:highlight w:val="none"/>
              </w:rPr>
            </w:pPr>
            <w:r>
              <w:rPr>
                <w:rFonts w:hint="eastAsia"/>
                <w:color w:val="auto"/>
                <w:highlight w:val="none"/>
              </w:rPr>
              <w:t>≥26T</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13</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载重汽车</w:t>
            </w:r>
          </w:p>
        </w:tc>
        <w:tc>
          <w:tcPr>
            <w:tcW w:w="2723" w:type="dxa"/>
            <w:noWrap w:val="0"/>
            <w:vAlign w:val="center"/>
          </w:tcPr>
          <w:p>
            <w:pPr>
              <w:jc w:val="center"/>
              <w:rPr>
                <w:rFonts w:ascii="宋体" w:hAnsi="宋体" w:cs="宋体"/>
                <w:color w:val="auto"/>
                <w:szCs w:val="21"/>
                <w:highlight w:val="none"/>
              </w:rPr>
            </w:pPr>
            <w:r>
              <w:rPr>
                <w:rFonts w:hint="eastAsia"/>
                <w:color w:val="auto"/>
                <w:highlight w:val="none"/>
              </w:rPr>
              <w:t>15t以上</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辆</w:t>
            </w:r>
          </w:p>
        </w:tc>
        <w:tc>
          <w:tcPr>
            <w:tcW w:w="3089" w:type="dxa"/>
            <w:noWrap w:val="0"/>
            <w:vAlign w:val="center"/>
          </w:tcPr>
          <w:p>
            <w:pPr>
              <w:widowControl/>
              <w:jc w:val="center"/>
              <w:rPr>
                <w:rFonts w:hint="eastAsia" w:ascii="宋体" w:hAnsi="宋体" w:cs="宋体"/>
                <w:color w:val="auto"/>
                <w:szCs w:val="21"/>
                <w:highlight w:val="none"/>
              </w:rPr>
            </w:pPr>
            <w:r>
              <w:rPr>
                <w:rFonts w:ascii="宋体" w:hAnsi="宋体" w:cs="宋体"/>
                <w:color w:val="auto"/>
                <w:szCs w:val="21"/>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14</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稳定粒料拌和设备</w:t>
            </w:r>
          </w:p>
        </w:tc>
        <w:tc>
          <w:tcPr>
            <w:tcW w:w="2723" w:type="dxa"/>
            <w:noWrap w:val="0"/>
            <w:vAlign w:val="center"/>
          </w:tcPr>
          <w:p>
            <w:pPr>
              <w:jc w:val="center"/>
              <w:rPr>
                <w:rFonts w:ascii="宋体" w:hAnsi="宋体" w:cs="宋体"/>
                <w:color w:val="auto"/>
                <w:szCs w:val="21"/>
                <w:highlight w:val="none"/>
              </w:rPr>
            </w:pPr>
            <w:r>
              <w:rPr>
                <w:rFonts w:ascii="Arial" w:hAnsi="Arial" w:cs="Arial"/>
                <w:color w:val="auto"/>
                <w:highlight w:val="none"/>
              </w:rPr>
              <w:t>≥</w:t>
            </w:r>
            <w:r>
              <w:rPr>
                <w:rFonts w:hint="eastAsia"/>
                <w:color w:val="auto"/>
                <w:highlight w:val="none"/>
              </w:rPr>
              <w:t>500t/h_</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座</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5</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基层摊铺机</w:t>
            </w:r>
          </w:p>
        </w:tc>
        <w:tc>
          <w:tcPr>
            <w:tcW w:w="2723" w:type="dxa"/>
            <w:noWrap w:val="0"/>
            <w:vAlign w:val="center"/>
          </w:tcPr>
          <w:p>
            <w:pPr>
              <w:jc w:val="center"/>
              <w:rPr>
                <w:rFonts w:ascii="宋体" w:hAnsi="宋体" w:cs="宋体"/>
                <w:color w:val="auto"/>
                <w:szCs w:val="21"/>
                <w:highlight w:val="none"/>
              </w:rPr>
            </w:pPr>
            <w:r>
              <w:rPr>
                <w:rFonts w:hint="eastAsia"/>
                <w:color w:val="auto"/>
                <w:highlight w:val="none"/>
              </w:rPr>
              <w:t>一次性摊铺宽度≥7.5m</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6</w:t>
            </w:r>
          </w:p>
        </w:tc>
        <w:tc>
          <w:tcPr>
            <w:tcW w:w="2689" w:type="dxa"/>
            <w:noWrap w:val="0"/>
            <w:vAlign w:val="center"/>
          </w:tcPr>
          <w:p>
            <w:pPr>
              <w:jc w:val="center"/>
              <w:rPr>
                <w:rFonts w:hint="eastAsia"/>
                <w:color w:val="auto"/>
                <w:highlight w:val="none"/>
              </w:rPr>
            </w:pPr>
            <w:r>
              <w:rPr>
                <w:rFonts w:hint="eastAsia"/>
                <w:color w:val="auto"/>
                <w:highlight w:val="none"/>
              </w:rPr>
              <w:t>打桩机</w:t>
            </w:r>
          </w:p>
        </w:tc>
        <w:tc>
          <w:tcPr>
            <w:tcW w:w="2723" w:type="dxa"/>
            <w:noWrap w:val="0"/>
            <w:vAlign w:val="center"/>
          </w:tcPr>
          <w:p>
            <w:pPr>
              <w:jc w:val="center"/>
              <w:rPr>
                <w:rFonts w:hint="eastAsia"/>
                <w:color w:val="auto"/>
                <w:highlight w:val="none"/>
              </w:rPr>
            </w:pPr>
            <w:r>
              <w:rPr>
                <w:rFonts w:hint="eastAsia"/>
                <w:color w:val="auto"/>
                <w:highlight w:val="none"/>
              </w:rPr>
              <w:t>锤重350kg</w:t>
            </w:r>
          </w:p>
        </w:tc>
        <w:tc>
          <w:tcPr>
            <w:tcW w:w="1166" w:type="dxa"/>
            <w:noWrap w:val="0"/>
            <w:vAlign w:val="center"/>
          </w:tcPr>
          <w:p>
            <w:pPr>
              <w:widowControl/>
              <w:jc w:val="center"/>
              <w:rPr>
                <w:rFonts w:hint="eastAsia"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17</w:t>
            </w:r>
          </w:p>
        </w:tc>
        <w:tc>
          <w:tcPr>
            <w:tcW w:w="2689" w:type="dxa"/>
            <w:noWrap w:val="0"/>
            <w:vAlign w:val="center"/>
          </w:tcPr>
          <w:p>
            <w:pPr>
              <w:jc w:val="center"/>
              <w:rPr>
                <w:rFonts w:hint="default" w:eastAsia="宋体"/>
                <w:color w:val="auto"/>
                <w:highlight w:val="none"/>
                <w:lang w:val="en-US" w:eastAsia="zh-CN"/>
              </w:rPr>
            </w:pPr>
            <w:r>
              <w:rPr>
                <w:rFonts w:hint="eastAsia"/>
                <w:color w:val="auto"/>
                <w:highlight w:val="none"/>
                <w:lang w:val="en-US" w:eastAsia="zh-CN"/>
              </w:rPr>
              <w:t>水泥混凝土自动计量拌合楼</w:t>
            </w:r>
          </w:p>
        </w:tc>
        <w:tc>
          <w:tcPr>
            <w:tcW w:w="2723" w:type="dxa"/>
            <w:noWrap w:val="0"/>
            <w:vAlign w:val="center"/>
          </w:tcPr>
          <w:p>
            <w:pPr>
              <w:jc w:val="center"/>
              <w:rPr>
                <w:rFonts w:hint="eastAsia"/>
                <w:color w:val="auto"/>
                <w:highlight w:val="none"/>
              </w:rPr>
            </w:pPr>
            <w:r>
              <w:rPr>
                <w:rFonts w:ascii="Arial" w:hAnsi="Arial" w:cs="Arial"/>
                <w:color w:val="auto"/>
                <w:highlight w:val="none"/>
              </w:rPr>
              <w:t>≥</w:t>
            </w:r>
            <w:r>
              <w:rPr>
                <w:rFonts w:hint="eastAsia"/>
                <w:color w:val="auto"/>
                <w:highlight w:val="none"/>
                <w:lang w:val="en-US" w:eastAsia="zh-CN"/>
              </w:rPr>
              <w:t>120</w:t>
            </w:r>
            <w:r>
              <w:rPr>
                <w:rFonts w:hint="eastAsia"/>
                <w:color w:val="auto"/>
                <w:highlight w:val="none"/>
              </w:rPr>
              <w:t>m</w:t>
            </w:r>
            <w:r>
              <w:rPr>
                <w:rFonts w:hint="eastAsia" w:ascii="宋体" w:hAnsi="宋体" w:cs="宋体"/>
                <w:color w:val="auto"/>
                <w:highlight w:val="none"/>
              </w:rPr>
              <w:t>³</w:t>
            </w:r>
            <w:r>
              <w:rPr>
                <w:rFonts w:hint="eastAsia"/>
                <w:color w:val="auto"/>
                <w:highlight w:val="none"/>
              </w:rPr>
              <w:t>/h_</w:t>
            </w:r>
          </w:p>
        </w:tc>
        <w:tc>
          <w:tcPr>
            <w:tcW w:w="1166" w:type="dxa"/>
            <w:noWrap w:val="0"/>
            <w:vAlign w:val="center"/>
          </w:tcPr>
          <w:p>
            <w:pPr>
              <w:widowControl/>
              <w:jc w:val="center"/>
              <w:rPr>
                <w:rFonts w:hint="eastAsia" w:ascii="宋体" w:hAnsi="宋体" w:cs="宋体"/>
                <w:color w:val="auto"/>
                <w:szCs w:val="21"/>
                <w:highlight w:val="none"/>
              </w:rPr>
            </w:pPr>
            <w:r>
              <w:rPr>
                <w:rFonts w:hint="eastAsia" w:ascii="宋体" w:hAnsi="宋体" w:cs="宋体"/>
                <w:color w:val="auto"/>
                <w:szCs w:val="21"/>
                <w:highlight w:val="none"/>
              </w:rPr>
              <w:t>座</w:t>
            </w:r>
          </w:p>
        </w:tc>
        <w:tc>
          <w:tcPr>
            <w:tcW w:w="3089" w:type="dxa"/>
            <w:noWrap w:val="0"/>
            <w:vAlign w:val="center"/>
          </w:tcPr>
          <w:p>
            <w:pPr>
              <w:widowControl/>
              <w:jc w:val="center"/>
              <w:rPr>
                <w:rFonts w:hint="eastAsia"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hint="eastAsia" w:ascii="宋体" w:hAnsi="宋体" w:cs="宋体"/>
                <w:color w:val="auto"/>
                <w:szCs w:val="21"/>
                <w:highlight w:val="none"/>
                <w:lang w:val="en-US" w:eastAsia="zh-CN"/>
              </w:rPr>
            </w:pPr>
          </w:p>
        </w:tc>
        <w:tc>
          <w:tcPr>
            <w:tcW w:w="2689" w:type="dxa"/>
            <w:noWrap w:val="0"/>
            <w:vAlign w:val="center"/>
          </w:tcPr>
          <w:p>
            <w:pPr>
              <w:jc w:val="center"/>
              <w:rPr>
                <w:rFonts w:hint="eastAsia"/>
                <w:color w:val="auto"/>
                <w:highlight w:val="none"/>
                <w:lang w:val="en-US" w:eastAsia="zh-CN"/>
              </w:rPr>
            </w:pPr>
          </w:p>
        </w:tc>
        <w:tc>
          <w:tcPr>
            <w:tcW w:w="2723" w:type="dxa"/>
            <w:noWrap w:val="0"/>
            <w:vAlign w:val="center"/>
          </w:tcPr>
          <w:p>
            <w:pPr>
              <w:jc w:val="center"/>
              <w:rPr>
                <w:rFonts w:ascii="Arial" w:hAnsi="Arial" w:cs="Arial"/>
                <w:color w:val="auto"/>
                <w:highlight w:val="none"/>
              </w:rPr>
            </w:pPr>
          </w:p>
        </w:tc>
        <w:tc>
          <w:tcPr>
            <w:tcW w:w="1166" w:type="dxa"/>
            <w:noWrap w:val="0"/>
            <w:vAlign w:val="center"/>
          </w:tcPr>
          <w:p>
            <w:pPr>
              <w:widowControl/>
              <w:jc w:val="center"/>
              <w:rPr>
                <w:rFonts w:hint="eastAsia" w:ascii="宋体" w:hAnsi="宋体" w:cs="宋体"/>
                <w:color w:val="auto"/>
                <w:szCs w:val="21"/>
                <w:highlight w:val="none"/>
              </w:rPr>
            </w:pPr>
          </w:p>
        </w:tc>
        <w:tc>
          <w:tcPr>
            <w:tcW w:w="3089" w:type="dxa"/>
            <w:noWrap w:val="0"/>
            <w:vAlign w:val="center"/>
          </w:tcPr>
          <w:p>
            <w:pPr>
              <w:widowControl/>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hint="eastAsia" w:ascii="宋体" w:hAnsi="宋体" w:cs="宋体"/>
                <w:color w:val="auto"/>
                <w:szCs w:val="21"/>
                <w:highlight w:val="none"/>
                <w:lang w:val="en-US" w:eastAsia="zh-CN"/>
              </w:rPr>
            </w:pPr>
          </w:p>
        </w:tc>
        <w:tc>
          <w:tcPr>
            <w:tcW w:w="2689" w:type="dxa"/>
            <w:noWrap w:val="0"/>
            <w:vAlign w:val="center"/>
          </w:tcPr>
          <w:p>
            <w:pPr>
              <w:jc w:val="center"/>
              <w:rPr>
                <w:rFonts w:hint="eastAsia"/>
                <w:color w:val="auto"/>
                <w:highlight w:val="none"/>
                <w:lang w:val="en-US" w:eastAsia="zh-CN"/>
              </w:rPr>
            </w:pPr>
          </w:p>
        </w:tc>
        <w:tc>
          <w:tcPr>
            <w:tcW w:w="2723" w:type="dxa"/>
            <w:noWrap w:val="0"/>
            <w:vAlign w:val="center"/>
          </w:tcPr>
          <w:p>
            <w:pPr>
              <w:jc w:val="center"/>
              <w:rPr>
                <w:rFonts w:ascii="Arial" w:hAnsi="Arial" w:cs="Arial"/>
                <w:color w:val="auto"/>
                <w:highlight w:val="none"/>
              </w:rPr>
            </w:pPr>
          </w:p>
        </w:tc>
        <w:tc>
          <w:tcPr>
            <w:tcW w:w="1166" w:type="dxa"/>
            <w:noWrap w:val="0"/>
            <w:vAlign w:val="center"/>
          </w:tcPr>
          <w:p>
            <w:pPr>
              <w:widowControl/>
              <w:jc w:val="center"/>
              <w:rPr>
                <w:rFonts w:hint="eastAsia" w:ascii="宋体" w:hAnsi="宋体" w:cs="宋体"/>
                <w:color w:val="auto"/>
                <w:szCs w:val="21"/>
                <w:highlight w:val="none"/>
              </w:rPr>
            </w:pPr>
          </w:p>
        </w:tc>
        <w:tc>
          <w:tcPr>
            <w:tcW w:w="3089" w:type="dxa"/>
            <w:noWrap w:val="0"/>
            <w:vAlign w:val="center"/>
          </w:tcPr>
          <w:p>
            <w:pPr>
              <w:widowControl/>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hint="eastAsia" w:ascii="宋体" w:hAnsi="宋体" w:cs="宋体"/>
                <w:color w:val="auto"/>
                <w:szCs w:val="21"/>
                <w:highlight w:val="none"/>
                <w:lang w:val="en-US" w:eastAsia="zh-CN"/>
              </w:rPr>
            </w:pPr>
          </w:p>
        </w:tc>
        <w:tc>
          <w:tcPr>
            <w:tcW w:w="2689" w:type="dxa"/>
            <w:noWrap w:val="0"/>
            <w:vAlign w:val="center"/>
          </w:tcPr>
          <w:p>
            <w:pPr>
              <w:jc w:val="center"/>
              <w:rPr>
                <w:rFonts w:hint="eastAsia"/>
                <w:color w:val="auto"/>
                <w:highlight w:val="none"/>
                <w:lang w:val="en-US" w:eastAsia="zh-CN"/>
              </w:rPr>
            </w:pPr>
          </w:p>
        </w:tc>
        <w:tc>
          <w:tcPr>
            <w:tcW w:w="2723" w:type="dxa"/>
            <w:noWrap w:val="0"/>
            <w:vAlign w:val="center"/>
          </w:tcPr>
          <w:p>
            <w:pPr>
              <w:jc w:val="center"/>
              <w:rPr>
                <w:rFonts w:ascii="Arial" w:hAnsi="Arial" w:cs="Arial"/>
                <w:color w:val="auto"/>
                <w:highlight w:val="none"/>
              </w:rPr>
            </w:pPr>
          </w:p>
        </w:tc>
        <w:tc>
          <w:tcPr>
            <w:tcW w:w="1166" w:type="dxa"/>
            <w:noWrap w:val="0"/>
            <w:vAlign w:val="center"/>
          </w:tcPr>
          <w:p>
            <w:pPr>
              <w:widowControl/>
              <w:jc w:val="center"/>
              <w:rPr>
                <w:rFonts w:hint="eastAsia" w:ascii="宋体" w:hAnsi="宋体" w:cs="宋体"/>
                <w:color w:val="auto"/>
                <w:szCs w:val="21"/>
                <w:highlight w:val="none"/>
              </w:rPr>
            </w:pPr>
          </w:p>
        </w:tc>
        <w:tc>
          <w:tcPr>
            <w:tcW w:w="3089" w:type="dxa"/>
            <w:noWrap w:val="0"/>
            <w:vAlign w:val="center"/>
          </w:tcPr>
          <w:p>
            <w:pPr>
              <w:widowControl/>
              <w:jc w:val="center"/>
              <w:rPr>
                <w:rFonts w:hint="eastAsia" w:ascii="宋体" w:hAnsi="宋体" w:cs="宋体"/>
                <w:color w:val="auto"/>
                <w:szCs w:val="21"/>
                <w:highlight w:val="none"/>
              </w:rPr>
            </w:pPr>
          </w:p>
        </w:tc>
      </w:tr>
    </w:tbl>
    <w:p>
      <w:pPr>
        <w:spacing w:line="360" w:lineRule="auto"/>
        <w:ind w:firstLine="723" w:firstLineChars="300"/>
        <w:rPr>
          <w:rFonts w:ascii="宋体" w:hAnsi="宋体" w:cs="宋体"/>
          <w:b/>
          <w:bCs/>
          <w:color w:val="auto"/>
          <w:sz w:val="24"/>
          <w:highlight w:val="none"/>
        </w:rPr>
      </w:pPr>
    </w:p>
    <w:p>
      <w:pPr>
        <w:spacing w:line="360" w:lineRule="auto"/>
        <w:ind w:firstLine="723" w:firstLineChars="300"/>
        <w:rPr>
          <w:rFonts w:ascii="宋体" w:hAnsi="宋体" w:cs="宋体"/>
          <w:b/>
          <w:bCs/>
          <w:color w:val="auto"/>
          <w:sz w:val="24"/>
          <w:highlight w:val="none"/>
        </w:rPr>
      </w:pPr>
    </w:p>
    <w:p>
      <w:pPr>
        <w:rPr>
          <w:rFonts w:hint="eastAsia" w:ascii="宋体" w:hAnsi="宋体" w:eastAsia="宋体" w:cs="宋体"/>
          <w:color w:val="auto"/>
          <w:sz w:val="42"/>
          <w:highlight w:val="none"/>
          <w:lang w:eastAsia="zh-CN"/>
        </w:rPr>
      </w:pPr>
      <w:r>
        <w:rPr>
          <w:rFonts w:hint="eastAsia" w:ascii="宋体" w:hAnsi="宋体" w:eastAsia="宋体" w:cs="宋体"/>
          <w:color w:val="auto"/>
          <w:sz w:val="42"/>
          <w:highlight w:val="none"/>
          <w:lang w:eastAsia="zh-CN"/>
        </w:rPr>
        <w:br w:type="page"/>
      </w:r>
    </w:p>
    <w:p>
      <w:pPr>
        <w:pStyle w:val="8"/>
        <w:spacing w:before="518" w:after="0" w:line="430" w:lineRule="exact"/>
        <w:jc w:val="left"/>
        <w:rPr>
          <w:rFonts w:hint="eastAsia" w:ascii="宋体" w:hAnsi="宋体" w:eastAsia="宋体" w:cs="宋体"/>
          <w:b/>
          <w:color w:val="auto"/>
          <w:kern w:val="2"/>
          <w:sz w:val="21"/>
          <w:szCs w:val="21"/>
          <w:highlight w:val="none"/>
          <w:lang w:val="en-US" w:eastAsia="zh-CN" w:bidi="ar-SA"/>
        </w:rPr>
      </w:pPr>
      <w:r>
        <w:rPr>
          <w:rFonts w:hint="eastAsia" w:ascii="宋体" w:hAnsi="宋体" w:eastAsia="宋体" w:cs="宋体"/>
          <w:b/>
          <w:color w:val="auto"/>
          <w:kern w:val="2"/>
          <w:sz w:val="21"/>
          <w:szCs w:val="21"/>
          <w:highlight w:val="none"/>
          <w:lang w:val="en-US" w:eastAsia="zh-CN" w:bidi="ar-SA"/>
        </w:rPr>
        <w:t>附件2：评标办法（双信封的技术评分最低标价法）</w:t>
      </w:r>
    </w:p>
    <w:tbl>
      <w:tblPr>
        <w:tblStyle w:val="6"/>
        <w:tblW w:w="9072"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757"/>
        <w:gridCol w:w="1264"/>
        <w:gridCol w:w="7051"/>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32" w:hRule="exact"/>
          <w:jc w:val="center"/>
        </w:trPr>
        <w:tc>
          <w:tcPr>
            <w:tcW w:w="2021" w:type="dxa"/>
            <w:gridSpan w:val="2"/>
            <w:noWrap w:val="0"/>
            <w:vAlign w:val="center"/>
          </w:tcPr>
          <w:p>
            <w:pPr>
              <w:spacing w:line="360" w:lineRule="auto"/>
              <w:jc w:val="center"/>
              <w:rPr>
                <w:rFonts w:ascii="宋体" w:hAnsi="宋体" w:cs="宋体"/>
                <w:b/>
                <w:color w:val="auto"/>
                <w:szCs w:val="21"/>
                <w:highlight w:val="none"/>
              </w:rPr>
            </w:pPr>
            <w:r>
              <w:rPr>
                <w:rFonts w:hint="eastAsia" w:ascii="宋体" w:hAnsi="宋体" w:cs="宋体"/>
                <w:b/>
                <w:color w:val="auto"/>
                <w:szCs w:val="21"/>
                <w:highlight w:val="none"/>
              </w:rPr>
              <w:t>条款号</w:t>
            </w:r>
          </w:p>
        </w:tc>
        <w:tc>
          <w:tcPr>
            <w:tcW w:w="7051" w:type="dxa"/>
            <w:noWrap w:val="0"/>
            <w:vAlign w:val="center"/>
          </w:tcPr>
          <w:p>
            <w:pPr>
              <w:spacing w:line="360" w:lineRule="auto"/>
              <w:jc w:val="center"/>
              <w:rPr>
                <w:rFonts w:ascii="宋体" w:hAnsi="宋体" w:cs="宋体"/>
                <w:b/>
                <w:color w:val="auto"/>
                <w:szCs w:val="21"/>
                <w:highlight w:val="none"/>
              </w:rPr>
            </w:pPr>
            <w:r>
              <w:rPr>
                <w:rFonts w:hint="eastAsia" w:ascii="宋体" w:hAnsi="宋体" w:cs="宋体"/>
                <w:b/>
                <w:color w:val="auto"/>
                <w:szCs w:val="21"/>
                <w:highlight w:val="none"/>
              </w:rPr>
              <w:t>评审因素与标准</w:t>
            </w:r>
          </w:p>
          <w:p>
            <w:pPr>
              <w:spacing w:line="360" w:lineRule="auto"/>
              <w:jc w:val="center"/>
              <w:rPr>
                <w:rFonts w:ascii="宋体" w:hAnsi="宋体" w:cs="宋体"/>
                <w:b/>
                <w:color w:val="auto"/>
                <w:szCs w:val="21"/>
                <w:highlight w:val="none"/>
              </w:rPr>
            </w:pPr>
            <w:r>
              <w:rPr>
                <w:rFonts w:hint="eastAsia" w:ascii="宋体" w:hAnsi="宋体" w:cs="宋体"/>
                <w:b/>
                <w:color w:val="auto"/>
                <w:szCs w:val="21"/>
                <w:highlight w:val="none"/>
              </w:rPr>
              <w:t>评审标准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984" w:hRule="exact"/>
          <w:jc w:val="center"/>
        </w:trPr>
        <w:tc>
          <w:tcPr>
            <w:tcW w:w="757" w:type="dxa"/>
            <w:tcBorders>
              <w:right w:val="single" w:color="auto" w:sz="4" w:space="0"/>
            </w:tcBorders>
            <w:noWrap w:val="0"/>
            <w:vAlign w:val="center"/>
          </w:tcPr>
          <w:p>
            <w:pPr>
              <w:spacing w:line="360" w:lineRule="auto"/>
              <w:jc w:val="center"/>
              <w:rPr>
                <w:rFonts w:ascii="宋体" w:hAnsi="宋体" w:cs="宋体"/>
                <w:b/>
                <w:color w:val="auto"/>
                <w:szCs w:val="21"/>
                <w:highlight w:val="none"/>
              </w:rPr>
            </w:pPr>
            <w:r>
              <w:rPr>
                <w:rFonts w:hint="eastAsia" w:ascii="宋体" w:hAnsi="宋体" w:cs="宋体"/>
                <w:bCs/>
                <w:color w:val="auto"/>
                <w:szCs w:val="21"/>
                <w:highlight w:val="none"/>
              </w:rPr>
              <w:t>1</w:t>
            </w:r>
          </w:p>
        </w:tc>
        <w:tc>
          <w:tcPr>
            <w:tcW w:w="1264" w:type="dxa"/>
            <w:tcBorders>
              <w:left w:val="single" w:color="auto" w:sz="4" w:space="0"/>
            </w:tcBorders>
            <w:noWrap w:val="0"/>
            <w:vAlign w:val="center"/>
          </w:tcPr>
          <w:p>
            <w:pPr>
              <w:spacing w:line="360" w:lineRule="auto"/>
              <w:jc w:val="center"/>
              <w:rPr>
                <w:rFonts w:ascii="宋体" w:hAnsi="宋体" w:cs="宋体"/>
                <w:bCs/>
                <w:color w:val="auto"/>
                <w:szCs w:val="21"/>
                <w:highlight w:val="none"/>
              </w:rPr>
            </w:pPr>
            <w:r>
              <w:rPr>
                <w:rFonts w:hint="eastAsia" w:ascii="宋体" w:hAnsi="宋体" w:cs="宋体"/>
                <w:bCs/>
                <w:color w:val="auto"/>
                <w:szCs w:val="21"/>
                <w:highlight w:val="none"/>
              </w:rPr>
              <w:t>评标办法</w:t>
            </w:r>
          </w:p>
        </w:tc>
        <w:tc>
          <w:tcPr>
            <w:tcW w:w="7051" w:type="dxa"/>
            <w:noWrap w:val="0"/>
            <w:vAlign w:val="center"/>
          </w:tcPr>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评标价相等时，评标委员会依次按照以下优先顺序推荐中标候选人或确定中标人：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（1）按招标文件规定被认定为最新年度广东省公路工程从业单位信用评价等级较高的投标人优先；【采用如下的优先顺序：承诺使用的 AA 级投标人、不承诺使用的AA 级投标人、承诺使用的 A 级投标人、不承诺使用的 A 级投标人、B 级投标人、未参评且被确定为 B 级投标人】；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（2）以投标人企业最新年度净资产较高的优先；</w:t>
            </w:r>
          </w:p>
          <w:p>
            <w:pPr>
              <w:spacing w:line="360" w:lineRule="auto"/>
              <w:ind w:firstLine="420" w:firstLineChars="200"/>
              <w:rPr>
                <w:rFonts w:ascii="宋体" w:hAnsi="宋体" w:cs="宋体"/>
                <w:b/>
                <w:color w:val="auto"/>
                <w:szCs w:val="21"/>
                <w:highlight w:val="none"/>
              </w:rPr>
            </w:pPr>
            <w:r>
              <w:rPr>
                <w:rFonts w:hint="eastAsia" w:ascii="宋体" w:hAnsi="宋体" w:cs="宋体"/>
                <w:color w:val="auto"/>
                <w:szCs w:val="21"/>
                <w:highlight w:val="none"/>
              </w:rPr>
              <w:t>（3）评标委员会视投标人情况综合比较，投票确定其名次。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609" w:hRule="atLeast"/>
          <w:jc w:val="center"/>
        </w:trPr>
        <w:tc>
          <w:tcPr>
            <w:tcW w:w="757" w:type="dxa"/>
            <w:tcBorders>
              <w:right w:val="single" w:color="auto" w:sz="4" w:space="0"/>
            </w:tcBorders>
            <w:noWrap w:val="0"/>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2.1.1</w:t>
            </w:r>
          </w:p>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2.1.3</w:t>
            </w:r>
          </w:p>
        </w:tc>
        <w:tc>
          <w:tcPr>
            <w:tcW w:w="1264" w:type="dxa"/>
            <w:tcBorders>
              <w:left w:val="single" w:color="auto" w:sz="4" w:space="0"/>
            </w:tcBorders>
            <w:noWrap w:val="0"/>
            <w:vAlign w:val="center"/>
          </w:tcPr>
          <w:p>
            <w:pPr>
              <w:snapToGrid w:val="0"/>
              <w:spacing w:line="360" w:lineRule="auto"/>
              <w:ind w:right="113"/>
              <w:contextualSpacing/>
              <w:jc w:val="center"/>
              <w:rPr>
                <w:rFonts w:ascii="宋体" w:hAnsi="宋体" w:cs="宋体"/>
                <w:color w:val="auto"/>
                <w:szCs w:val="21"/>
                <w:highlight w:val="none"/>
              </w:rPr>
            </w:pPr>
            <w:r>
              <w:rPr>
                <w:rFonts w:hint="eastAsia" w:ascii="宋体" w:hAnsi="宋体" w:cs="宋体"/>
                <w:color w:val="auto"/>
                <w:szCs w:val="21"/>
                <w:highlight w:val="none"/>
              </w:rPr>
              <w:t>形式评审与响应性评审标准</w:t>
            </w:r>
          </w:p>
        </w:tc>
        <w:tc>
          <w:tcPr>
            <w:tcW w:w="7051" w:type="dxa"/>
            <w:noWrap w:val="0"/>
            <w:vAlign w:val="center"/>
          </w:tcPr>
          <w:p>
            <w:pPr>
              <w:spacing w:line="360" w:lineRule="auto"/>
              <w:ind w:right="113"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第一个信封（商务及技术文件）评审标准：</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（1）投标文件按照招标文件规定的格式、内容填写，字迹清晰可辨：</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a.投标函按招标文件规定填报了项目名称、标段号、补遗书编号（如有）、工期、工程质量要求及安全目标；</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b.投标函附录的所有数据均符合招标文件规定；</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c.投标文件组成齐全完整，内容均按规定填写。</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（2）投标文件上法定代表人</w:t>
            </w:r>
            <w:r>
              <w:rPr>
                <w:rFonts w:hint="eastAsia" w:ascii="宋体" w:hAnsi="宋体" w:cs="宋体"/>
                <w:color w:val="auto"/>
                <w:szCs w:val="21"/>
                <w:highlight w:val="none"/>
                <w:lang w:eastAsia="zh-CN"/>
              </w:rPr>
              <w:t>、</w:t>
            </w:r>
            <w:r>
              <w:rPr>
                <w:rFonts w:hint="eastAsia" w:ascii="宋体" w:hAnsi="宋体" w:cs="宋体"/>
                <w:color w:val="auto"/>
                <w:szCs w:val="21"/>
                <w:highlight w:val="none"/>
              </w:rPr>
              <w:t>其委托代理人</w:t>
            </w:r>
            <w:r>
              <w:rPr>
                <w:rFonts w:hint="eastAsia" w:ascii="宋体" w:hAnsi="宋体" w:cs="宋体"/>
                <w:color w:val="auto"/>
                <w:szCs w:val="21"/>
                <w:highlight w:val="none"/>
                <w:lang w:eastAsia="zh-CN"/>
              </w:rPr>
              <w:t>及其项目经理、项目总工</w:t>
            </w:r>
            <w:r>
              <w:rPr>
                <w:rFonts w:hint="eastAsia" w:ascii="宋体" w:hAnsi="宋体" w:cs="宋体"/>
                <w:color w:val="auto"/>
                <w:szCs w:val="21"/>
                <w:highlight w:val="none"/>
              </w:rPr>
              <w:t>签字、投标人的单位章盖章齐全，符合招标文件规定。</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（3）投标人按照招标文件的规定提供了投标保证金：</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a.投标保证金金额符合招标文件规定的金额，且投标保证金有效期不少于投标有效期；</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b.若投标保证金采用现金或支票形式提交，投标人应在递交投标文件截止时间之前，将投标保证金由投标人的基本账户转入招标人指定账户；</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c.若投标保证金采用银行保函形式提交，银行保函的格式、开具保函的银行均满足招标文件要求，银行保函原件在递交投标文件时单独密封递交，其复印件装订在投标文件中。</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（4）投标人法定代表人授权委托代理人签署投标文件的，需提交授权委托书，且授权人和被授权人均在授权委托书上签名，未使用印章、签名章或其他电子制版签名代替。</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（5）投标人法定代表人亲自签署投标文件的，提供了法定代表人身份证明，且法定代表人在法定代表人身份证明上签名，未使用印章、签名章或其他电子制版签名代替。</w:t>
            </w:r>
          </w:p>
          <w:p>
            <w:pPr>
              <w:spacing w:line="360" w:lineRule="auto"/>
              <w:ind w:left="113" w:right="113" w:firstLine="212" w:firstLineChars="100"/>
              <w:rPr>
                <w:rFonts w:ascii="宋体" w:hAnsi="宋体" w:cs="宋体"/>
                <w:color w:val="auto"/>
                <w:spacing w:val="1"/>
                <w:szCs w:val="21"/>
                <w:highlight w:val="none"/>
              </w:rPr>
            </w:pPr>
            <w:r>
              <w:rPr>
                <w:rFonts w:hint="eastAsia" w:ascii="宋体" w:hAnsi="宋体" w:cs="宋体"/>
                <w:color w:val="auto"/>
                <w:spacing w:val="1"/>
                <w:szCs w:val="21"/>
                <w:highlight w:val="none"/>
              </w:rPr>
              <w:t>（6）投标人如有分包计划，符合招标文件第二章“投标人须知”第 1.11 款规定，且按招标文件第九章“投标文件格式”的要求填写了“拟分包项目情况表”。</w:t>
            </w:r>
          </w:p>
          <w:p>
            <w:pPr>
              <w:spacing w:line="360" w:lineRule="auto"/>
              <w:ind w:left="113" w:right="113" w:firstLine="212" w:firstLineChars="100"/>
              <w:rPr>
                <w:rFonts w:ascii="宋体" w:hAnsi="宋体" w:cs="宋体"/>
                <w:color w:val="auto"/>
                <w:spacing w:val="1"/>
                <w:szCs w:val="21"/>
                <w:highlight w:val="none"/>
              </w:rPr>
            </w:pPr>
            <w:r>
              <w:rPr>
                <w:rFonts w:hint="eastAsia" w:ascii="宋体" w:hAnsi="宋体" w:cs="宋体"/>
                <w:color w:val="auto"/>
                <w:spacing w:val="1"/>
                <w:szCs w:val="21"/>
                <w:highlight w:val="none"/>
              </w:rPr>
              <w:t>（7）同一投标人未提交两个以上不同的投标文件，但招标文件要求提交备选投标的除外。</w:t>
            </w:r>
          </w:p>
          <w:p>
            <w:pPr>
              <w:spacing w:line="360" w:lineRule="auto"/>
              <w:ind w:left="113" w:right="113" w:firstLine="212" w:firstLineChars="100"/>
              <w:rPr>
                <w:rFonts w:ascii="宋体" w:hAnsi="宋体" w:cs="宋体"/>
                <w:color w:val="auto"/>
                <w:spacing w:val="1"/>
                <w:szCs w:val="21"/>
                <w:highlight w:val="none"/>
              </w:rPr>
            </w:pPr>
            <w:r>
              <w:rPr>
                <w:rFonts w:hint="eastAsia" w:ascii="宋体" w:hAnsi="宋体" w:cs="宋体"/>
                <w:color w:val="auto"/>
                <w:spacing w:val="1"/>
                <w:szCs w:val="21"/>
                <w:highlight w:val="none"/>
              </w:rPr>
              <w:t>（8）投标文件中未出现有关投标报价的内容。</w:t>
            </w:r>
          </w:p>
          <w:p>
            <w:pPr>
              <w:spacing w:line="360" w:lineRule="auto"/>
              <w:ind w:left="113" w:right="113" w:firstLine="212" w:firstLineChars="100"/>
              <w:rPr>
                <w:rFonts w:ascii="宋体" w:hAnsi="宋体" w:cs="宋体"/>
                <w:color w:val="auto"/>
                <w:spacing w:val="1"/>
                <w:szCs w:val="21"/>
                <w:highlight w:val="none"/>
              </w:rPr>
            </w:pPr>
            <w:r>
              <w:rPr>
                <w:rFonts w:hint="eastAsia" w:ascii="宋体" w:hAnsi="宋体" w:cs="宋体"/>
                <w:color w:val="auto"/>
                <w:spacing w:val="1"/>
                <w:szCs w:val="21"/>
                <w:highlight w:val="none"/>
              </w:rPr>
              <w:t>（9）投标文件载明的招标项目完成期限未超过招标文件规定的时限。</w:t>
            </w:r>
          </w:p>
          <w:p>
            <w:pPr>
              <w:spacing w:line="360" w:lineRule="auto"/>
              <w:ind w:left="113" w:right="113" w:firstLine="212" w:firstLineChars="100"/>
              <w:rPr>
                <w:rFonts w:ascii="宋体" w:hAnsi="宋体" w:cs="宋体"/>
                <w:color w:val="auto"/>
                <w:spacing w:val="1"/>
                <w:szCs w:val="21"/>
                <w:highlight w:val="none"/>
              </w:rPr>
            </w:pPr>
            <w:r>
              <w:rPr>
                <w:rFonts w:hint="eastAsia" w:ascii="宋体" w:hAnsi="宋体" w:cs="宋体"/>
                <w:color w:val="auto"/>
                <w:spacing w:val="1"/>
                <w:szCs w:val="21"/>
                <w:highlight w:val="none"/>
              </w:rPr>
              <w:t>（10）投标文件对招标文件的实质性要求和条件作出响应。</w:t>
            </w:r>
          </w:p>
          <w:p>
            <w:pPr>
              <w:spacing w:line="360" w:lineRule="auto"/>
              <w:ind w:left="113" w:right="113" w:firstLine="212" w:firstLineChars="100"/>
              <w:rPr>
                <w:rFonts w:ascii="宋体" w:hAnsi="宋体" w:cs="宋体"/>
                <w:color w:val="auto"/>
                <w:spacing w:val="1"/>
                <w:szCs w:val="21"/>
                <w:highlight w:val="none"/>
              </w:rPr>
            </w:pPr>
            <w:r>
              <w:rPr>
                <w:rFonts w:hint="eastAsia" w:ascii="宋体" w:hAnsi="宋体" w:cs="宋体"/>
                <w:color w:val="auto"/>
                <w:spacing w:val="1"/>
                <w:szCs w:val="21"/>
                <w:highlight w:val="none"/>
              </w:rPr>
              <w:t>（11）权利义务符合招标文件规定：</w:t>
            </w:r>
          </w:p>
          <w:p>
            <w:pPr>
              <w:spacing w:line="360" w:lineRule="auto"/>
              <w:ind w:left="113" w:right="113" w:firstLine="212" w:firstLineChars="100"/>
              <w:rPr>
                <w:rFonts w:ascii="宋体" w:hAnsi="宋体" w:cs="宋体"/>
                <w:color w:val="auto"/>
                <w:spacing w:val="1"/>
                <w:szCs w:val="21"/>
                <w:highlight w:val="none"/>
              </w:rPr>
            </w:pPr>
            <w:r>
              <w:rPr>
                <w:rFonts w:hint="eastAsia" w:ascii="宋体" w:hAnsi="宋体" w:cs="宋体"/>
                <w:color w:val="auto"/>
                <w:spacing w:val="1"/>
                <w:szCs w:val="21"/>
                <w:highlight w:val="none"/>
              </w:rPr>
              <w:t>a.投标人应接受招标文件规定的风险划分原则，未提出新的风险划分办法；</w:t>
            </w:r>
          </w:p>
          <w:p>
            <w:pPr>
              <w:spacing w:line="360" w:lineRule="auto"/>
              <w:ind w:left="533" w:leftChars="153" w:right="113" w:hanging="212" w:hangingChars="100"/>
              <w:rPr>
                <w:rFonts w:ascii="宋体" w:hAnsi="宋体" w:cs="宋体"/>
                <w:color w:val="auto"/>
                <w:spacing w:val="1"/>
                <w:szCs w:val="21"/>
                <w:highlight w:val="none"/>
              </w:rPr>
            </w:pPr>
            <w:r>
              <w:rPr>
                <w:rFonts w:hint="eastAsia" w:ascii="宋体" w:hAnsi="宋体" w:cs="宋体"/>
                <w:color w:val="auto"/>
                <w:spacing w:val="1"/>
                <w:szCs w:val="21"/>
                <w:highlight w:val="none"/>
              </w:rPr>
              <w:t>b.投标人未增加发包人的责任范围，或减少投标人义务；</w:t>
            </w:r>
          </w:p>
          <w:p>
            <w:pPr>
              <w:spacing w:line="360" w:lineRule="auto"/>
              <w:ind w:left="533" w:leftChars="153" w:right="113" w:hanging="212" w:hangingChars="100"/>
              <w:rPr>
                <w:rFonts w:ascii="宋体" w:hAnsi="宋体" w:cs="宋体"/>
                <w:color w:val="auto"/>
                <w:szCs w:val="21"/>
                <w:highlight w:val="none"/>
              </w:rPr>
            </w:pPr>
            <w:r>
              <w:rPr>
                <w:rFonts w:hint="eastAsia" w:ascii="宋体" w:hAnsi="宋体" w:cs="宋体"/>
                <w:color w:val="auto"/>
                <w:spacing w:val="1"/>
                <w:szCs w:val="21"/>
                <w:highlight w:val="none"/>
              </w:rPr>
              <w:t>c.投标人未提出不同的工程验收、计量、支付办</w:t>
            </w:r>
            <w:r>
              <w:rPr>
                <w:rFonts w:hint="eastAsia" w:ascii="宋体" w:hAnsi="宋体" w:cs="宋体"/>
                <w:color w:val="auto"/>
                <w:szCs w:val="21"/>
                <w:highlight w:val="none"/>
              </w:rPr>
              <w:t>法；</w:t>
            </w:r>
          </w:p>
          <w:p>
            <w:pPr>
              <w:spacing w:line="360" w:lineRule="auto"/>
              <w:ind w:left="531" w:leftChars="153" w:right="113" w:hanging="210" w:hangingChars="100"/>
              <w:rPr>
                <w:rFonts w:ascii="宋体" w:hAnsi="宋体" w:cs="宋体"/>
                <w:color w:val="auto"/>
                <w:szCs w:val="21"/>
                <w:highlight w:val="none"/>
              </w:rPr>
            </w:pPr>
            <w:r>
              <w:rPr>
                <w:rFonts w:hint="eastAsia" w:ascii="宋体" w:hAnsi="宋体" w:cs="宋体"/>
                <w:color w:val="auto"/>
                <w:szCs w:val="21"/>
                <w:highlight w:val="none"/>
              </w:rPr>
              <w:t>d.投标人对合同纠纷、事故处理办法未提出异议；</w:t>
            </w:r>
          </w:p>
          <w:p>
            <w:pPr>
              <w:spacing w:line="360" w:lineRule="auto"/>
              <w:ind w:left="531" w:leftChars="153" w:right="113" w:hanging="210" w:hangingChars="100"/>
              <w:rPr>
                <w:rFonts w:ascii="宋体" w:hAnsi="宋体" w:cs="宋体"/>
                <w:color w:val="auto"/>
                <w:szCs w:val="21"/>
                <w:highlight w:val="none"/>
              </w:rPr>
            </w:pPr>
            <w:r>
              <w:rPr>
                <w:rFonts w:hint="eastAsia" w:ascii="宋体" w:hAnsi="宋体" w:cs="宋体"/>
                <w:color w:val="auto"/>
                <w:szCs w:val="21"/>
                <w:highlight w:val="none"/>
              </w:rPr>
              <w:t>e.投标人在投标活动中无欺诈行为；</w:t>
            </w:r>
          </w:p>
          <w:p>
            <w:pPr>
              <w:spacing w:line="360" w:lineRule="auto"/>
              <w:ind w:right="113" w:firstLine="210" w:firstLineChars="100"/>
              <w:rPr>
                <w:rFonts w:ascii="宋体" w:hAnsi="宋体" w:cs="宋体"/>
                <w:color w:val="auto"/>
                <w:szCs w:val="21"/>
                <w:highlight w:val="none"/>
              </w:rPr>
            </w:pPr>
            <w:r>
              <w:rPr>
                <w:rFonts w:hint="eastAsia" w:ascii="宋体" w:hAnsi="宋体" w:cs="宋体"/>
                <w:color w:val="auto"/>
                <w:szCs w:val="21"/>
                <w:highlight w:val="none"/>
              </w:rPr>
              <w:t xml:space="preserve"> f.投标人未对合同条款有重要保留。</w:t>
            </w:r>
          </w:p>
          <w:p>
            <w:pPr>
              <w:spacing w:line="360" w:lineRule="auto"/>
              <w:ind w:right="113" w:firstLine="210" w:firstLineChars="100"/>
              <w:rPr>
                <w:rFonts w:ascii="宋体" w:hAnsi="宋体" w:cs="宋体"/>
                <w:color w:val="auto"/>
                <w:szCs w:val="21"/>
                <w:highlight w:val="none"/>
              </w:rPr>
            </w:pPr>
            <w:r>
              <w:rPr>
                <w:rFonts w:hint="eastAsia" w:ascii="宋体" w:hAnsi="宋体" w:cs="宋体"/>
                <w:color w:val="auto"/>
                <w:szCs w:val="21"/>
                <w:highlight w:val="none"/>
              </w:rPr>
              <w:t>（12）投标文件正、副本份数符合招标文件第二章“投标人须知”第 3.7.4 项规定。</w:t>
            </w:r>
          </w:p>
          <w:p>
            <w:pPr>
              <w:spacing w:line="360" w:lineRule="auto"/>
              <w:ind w:right="113" w:firstLine="210" w:firstLineChars="100"/>
              <w:rPr>
                <w:rFonts w:ascii="宋体" w:hAnsi="宋体" w:cs="宋体"/>
                <w:color w:val="auto"/>
                <w:szCs w:val="21"/>
                <w:highlight w:val="none"/>
              </w:rPr>
            </w:pPr>
            <w:r>
              <w:rPr>
                <w:rFonts w:hint="eastAsia" w:ascii="宋体" w:hAnsi="宋体" w:cs="宋体"/>
                <w:color w:val="auto"/>
                <w:szCs w:val="21"/>
                <w:highlight w:val="none"/>
              </w:rPr>
              <w:t>（13）投标文件未附有招标人不能接受的条件。</w:t>
            </w:r>
          </w:p>
          <w:p>
            <w:pPr>
              <w:spacing w:line="360" w:lineRule="auto"/>
              <w:ind w:right="113" w:firstLine="210" w:firstLineChars="100"/>
              <w:rPr>
                <w:rFonts w:ascii="宋体" w:hAnsi="宋体" w:cs="宋体"/>
                <w:color w:val="auto"/>
                <w:szCs w:val="21"/>
                <w:highlight w:val="none"/>
              </w:rPr>
            </w:pPr>
          </w:p>
          <w:p>
            <w:pPr>
              <w:spacing w:line="360" w:lineRule="auto"/>
              <w:ind w:right="113" w:firstLine="211" w:firstLineChars="100"/>
              <w:rPr>
                <w:rFonts w:ascii="宋体" w:hAnsi="宋体" w:cs="宋体"/>
                <w:color w:val="auto"/>
                <w:szCs w:val="21"/>
                <w:highlight w:val="none"/>
              </w:rPr>
            </w:pPr>
            <w:r>
              <w:rPr>
                <w:rFonts w:hint="eastAsia" w:ascii="宋体" w:hAnsi="宋体" w:cs="宋体"/>
                <w:b/>
                <w:bCs/>
                <w:color w:val="auto"/>
                <w:szCs w:val="21"/>
                <w:highlight w:val="none"/>
              </w:rPr>
              <w:t>第二个信封（报价文件）评审标准：</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（1）投标文件按照招标文件规定的格式、内容填写，字迹清晰可辨：</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a.投标函按招标文件规定填报了项目名称、标段号、补遗书编号（如有）、投标价（包括大写金额和小写金额）；</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b.已标价工程量清单说明文字与招标文件规定一致，未进行实质性修改和删减；</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c.投标文件组成齐全完整，内容均按规定填写。</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（2）投标文件上法定代表人或其委托代理人的签字、投标人的单位章盖章齐全，符合招标文件规定。</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（3）投标报价或调价函中的报价未超过招标文件设定的最高投标限价（如有）。</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（4）投标报价或调价函中报价的大写金额能够确定具体数值。</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（5）同一投标人未提交两个以上不同的投标报价，但招标文件要求提交备选投标的除外。</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（6）投标人若提交调价函，调价函符合招标文件第二章“投标人须知”第 3.2.6 项要求。</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（7）投标人若填写工程量固化清单，填写完毕的工程量固化清单未对工程量固化清单电子文件中的数据、格式和运算定义进行修改；工程量固化清单中的投标报价和投标函大写金额报价一致。</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（8）投标文件正、副本份数符合招标文件第二章“投标人须知”第3.7.4 项规定。</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981" w:hRule="atLeast"/>
          <w:jc w:val="center"/>
        </w:trPr>
        <w:tc>
          <w:tcPr>
            <w:tcW w:w="757" w:type="dxa"/>
            <w:noWrap w:val="0"/>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2.1.2</w:t>
            </w:r>
          </w:p>
        </w:tc>
        <w:tc>
          <w:tcPr>
            <w:tcW w:w="1264" w:type="dxa"/>
            <w:noWrap w:val="0"/>
            <w:vAlign w:val="center"/>
          </w:tcPr>
          <w:p>
            <w:pPr>
              <w:snapToGrid w:val="0"/>
              <w:spacing w:line="360" w:lineRule="auto"/>
              <w:ind w:right="113"/>
              <w:contextualSpacing/>
              <w:jc w:val="center"/>
              <w:rPr>
                <w:rFonts w:ascii="宋体" w:hAnsi="宋体" w:cs="宋体"/>
                <w:color w:val="auto"/>
                <w:szCs w:val="21"/>
                <w:highlight w:val="none"/>
              </w:rPr>
            </w:pPr>
            <w:r>
              <w:rPr>
                <w:rFonts w:hint="eastAsia" w:ascii="宋体" w:hAnsi="宋体" w:cs="宋体"/>
                <w:color w:val="auto"/>
                <w:szCs w:val="21"/>
                <w:highlight w:val="none"/>
              </w:rPr>
              <w:t>资格评审标准</w:t>
            </w:r>
          </w:p>
        </w:tc>
        <w:tc>
          <w:tcPr>
            <w:tcW w:w="7051" w:type="dxa"/>
            <w:noWrap w:val="0"/>
            <w:vAlign w:val="center"/>
          </w:tcPr>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（1）投标人具备有效的营业执照、组织机构代码证（如有）、资质证书、安全生产许可证和基本账户开户许可证。</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（2）投标人的资质等级符合招标文件规定。</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（3）投标人的财务状况符合招标文件规定。</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（4）投标人的类似项目业绩符合招标文件规定（本项目不要求）。</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（5）投标人的信誉符合招标文件规定。</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（6）投标人的项目经理和项目总工资格、在岗情况符合招标文件规定。</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（7）投标人的其他要求符合招标文件规定。</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（8）投标人不存在第二章“投标人须知”第 1.4.3 项或第 1.4.4 项规定的任何一种情形。</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（9）投标人符合第二章“投标人须知”第 1.4.5 项规定。</w:t>
            </w:r>
          </w:p>
        </w:tc>
      </w:tr>
    </w:tbl>
    <w:p>
      <w:pPr>
        <w:spacing w:line="360" w:lineRule="auto"/>
        <w:rPr>
          <w:rFonts w:ascii="宋体" w:hAnsi="宋体" w:cs="宋体"/>
          <w:color w:val="auto"/>
          <w:szCs w:val="21"/>
          <w:highlight w:val="none"/>
        </w:rPr>
      </w:pPr>
    </w:p>
    <w:p>
      <w:pPr>
        <w:rPr>
          <w:rFonts w:ascii="宋体" w:hAnsi="宋体" w:cs="宋体"/>
          <w:color w:val="auto"/>
          <w:sz w:val="24"/>
          <w:highlight w:val="none"/>
        </w:rPr>
      </w:pPr>
      <w:r>
        <w:rPr>
          <w:rFonts w:ascii="宋体" w:hAnsi="宋体" w:cs="宋体"/>
          <w:color w:val="auto"/>
          <w:sz w:val="24"/>
          <w:highlight w:val="none"/>
        </w:rPr>
        <w:br w:type="page"/>
      </w:r>
    </w:p>
    <w:p>
      <w:pPr>
        <w:pStyle w:val="5"/>
        <w:ind w:firstLine="0" w:firstLineChars="0"/>
        <w:rPr>
          <w:color w:val="auto"/>
          <w:highlight w:val="none"/>
        </w:rPr>
      </w:pPr>
    </w:p>
    <w:tbl>
      <w:tblPr>
        <w:tblStyle w:val="6"/>
        <w:tblpPr w:leftFromText="180" w:rightFromText="180" w:vertAnchor="text" w:horzAnchor="page" w:tblpX="1517" w:tblpY="116"/>
        <w:tblOverlap w:val="never"/>
        <w:tblW w:w="9072" w:type="dxa"/>
        <w:tblInd w:w="-15"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816"/>
        <w:gridCol w:w="1956"/>
        <w:gridCol w:w="5300"/>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c>
          <w:tcPr>
            <w:tcW w:w="1816" w:type="dxa"/>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b/>
                <w:color w:val="auto"/>
                <w:szCs w:val="21"/>
                <w:highlight w:val="none"/>
              </w:rPr>
              <w:t>条款号</w:t>
            </w:r>
          </w:p>
        </w:tc>
        <w:tc>
          <w:tcPr>
            <w:tcW w:w="1956" w:type="dxa"/>
            <w:tcBorders>
              <w:right w:val="single" w:color="auto" w:sz="4" w:space="0"/>
            </w:tcBorders>
            <w:noWrap w:val="0"/>
            <w:vAlign w:val="center"/>
          </w:tcPr>
          <w:p>
            <w:pPr>
              <w:spacing w:line="360" w:lineRule="auto"/>
              <w:jc w:val="center"/>
              <w:rPr>
                <w:rFonts w:ascii="宋体" w:hAnsi="宋体" w:cs="宋体"/>
                <w:b/>
                <w:bCs/>
                <w:color w:val="auto"/>
                <w:szCs w:val="21"/>
                <w:highlight w:val="none"/>
              </w:rPr>
            </w:pPr>
            <w:r>
              <w:rPr>
                <w:rFonts w:hint="eastAsia" w:ascii="宋体" w:hAnsi="宋体" w:cs="宋体"/>
                <w:b/>
                <w:bCs/>
                <w:color w:val="auto"/>
                <w:szCs w:val="21"/>
                <w:highlight w:val="none"/>
              </w:rPr>
              <w:t>条款内容</w:t>
            </w:r>
          </w:p>
        </w:tc>
        <w:tc>
          <w:tcPr>
            <w:tcW w:w="5300" w:type="dxa"/>
            <w:tcBorders>
              <w:left w:val="single" w:color="auto" w:sz="4" w:space="0"/>
            </w:tcBorders>
            <w:noWrap w:val="0"/>
            <w:vAlign w:val="center"/>
          </w:tcPr>
          <w:p>
            <w:pPr>
              <w:spacing w:line="360" w:lineRule="auto"/>
              <w:jc w:val="center"/>
              <w:rPr>
                <w:rFonts w:ascii="宋体" w:hAnsi="宋体" w:cs="宋体"/>
                <w:b/>
                <w:bCs/>
                <w:color w:val="auto"/>
                <w:szCs w:val="21"/>
                <w:highlight w:val="none"/>
              </w:rPr>
            </w:pPr>
            <w:r>
              <w:rPr>
                <w:rFonts w:hint="eastAsia" w:ascii="宋体" w:hAnsi="宋体" w:cs="宋体"/>
                <w:b/>
                <w:bCs/>
                <w:color w:val="auto"/>
                <w:szCs w:val="21"/>
                <w:highlight w:val="none"/>
              </w:rPr>
              <w:t>编列内容</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94" w:hRule="atLeast"/>
        </w:trPr>
        <w:tc>
          <w:tcPr>
            <w:tcW w:w="1816" w:type="dxa"/>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2.2.1</w:t>
            </w:r>
          </w:p>
        </w:tc>
        <w:tc>
          <w:tcPr>
            <w:tcW w:w="1956" w:type="dxa"/>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分值构成</w:t>
            </w:r>
          </w:p>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（总分100分）</w:t>
            </w:r>
          </w:p>
        </w:tc>
        <w:tc>
          <w:tcPr>
            <w:tcW w:w="5300" w:type="dxa"/>
            <w:noWrap w:val="0"/>
            <w:vAlign w:val="center"/>
          </w:tcPr>
          <w:p>
            <w:pPr>
              <w:spacing w:line="360" w:lineRule="auto"/>
              <w:rPr>
                <w:rFonts w:ascii="宋体" w:hAnsi="宋体"/>
                <w:color w:val="auto"/>
                <w:sz w:val="18"/>
                <w:szCs w:val="18"/>
                <w:highlight w:val="none"/>
              </w:rPr>
            </w:pPr>
            <w:r>
              <w:rPr>
                <w:rFonts w:ascii="宋体" w:hAnsi="宋体"/>
                <w:color w:val="auto"/>
                <w:sz w:val="18"/>
                <w:szCs w:val="18"/>
                <w:highlight w:val="none"/>
              </w:rPr>
              <w:t>施工组织设计</w:t>
            </w:r>
            <w:r>
              <w:rPr>
                <w:rFonts w:hint="eastAsia" w:ascii="宋体" w:hAnsi="宋体"/>
                <w:color w:val="auto"/>
                <w:sz w:val="18"/>
                <w:szCs w:val="18"/>
                <w:highlight w:val="none"/>
              </w:rPr>
              <w:t>（A）</w:t>
            </w:r>
            <w:r>
              <w:rPr>
                <w:rFonts w:ascii="宋体" w:hAnsi="宋体"/>
                <w:color w:val="auto"/>
                <w:sz w:val="18"/>
                <w:szCs w:val="18"/>
                <w:highlight w:val="none"/>
              </w:rPr>
              <w:t>：</w:t>
            </w:r>
            <w:r>
              <w:rPr>
                <w:rFonts w:hint="eastAsia" w:ascii="宋体" w:hAnsi="宋体"/>
                <w:color w:val="auto"/>
                <w:sz w:val="18"/>
                <w:szCs w:val="18"/>
                <w:highlight w:val="none"/>
                <w:u w:val="single"/>
              </w:rPr>
              <w:t>40</w:t>
            </w:r>
            <w:r>
              <w:rPr>
                <w:rFonts w:hint="eastAsia" w:ascii="宋体" w:hAnsi="宋体"/>
                <w:color w:val="auto"/>
                <w:sz w:val="18"/>
                <w:szCs w:val="18"/>
                <w:highlight w:val="none"/>
              </w:rPr>
              <w:t>分</w:t>
            </w:r>
          </w:p>
          <w:p>
            <w:pPr>
              <w:spacing w:line="360" w:lineRule="auto"/>
              <w:rPr>
                <w:rFonts w:ascii="宋体" w:hAnsi="宋体"/>
                <w:color w:val="auto"/>
                <w:sz w:val="18"/>
                <w:szCs w:val="18"/>
                <w:highlight w:val="none"/>
              </w:rPr>
            </w:pPr>
            <w:r>
              <w:rPr>
                <w:rFonts w:hint="eastAsia" w:ascii="宋体" w:hAnsi="宋体"/>
                <w:color w:val="auto"/>
                <w:sz w:val="18"/>
                <w:szCs w:val="18"/>
                <w:highlight w:val="none"/>
              </w:rPr>
              <w:t>主要人员(B)</w:t>
            </w:r>
            <w:r>
              <w:rPr>
                <w:rFonts w:ascii="宋体" w:hAnsi="宋体"/>
                <w:color w:val="auto"/>
                <w:sz w:val="18"/>
                <w:szCs w:val="18"/>
                <w:highlight w:val="none"/>
              </w:rPr>
              <w:t>：</w:t>
            </w:r>
            <w:r>
              <w:rPr>
                <w:rFonts w:hint="eastAsia" w:ascii="宋体" w:hAnsi="宋体"/>
                <w:color w:val="auto"/>
                <w:sz w:val="18"/>
                <w:szCs w:val="18"/>
                <w:highlight w:val="none"/>
                <w:u w:val="single"/>
              </w:rPr>
              <w:t>25</w:t>
            </w:r>
            <w:r>
              <w:rPr>
                <w:rFonts w:hint="eastAsia" w:ascii="宋体" w:hAnsi="宋体"/>
                <w:color w:val="auto"/>
                <w:sz w:val="18"/>
                <w:szCs w:val="18"/>
                <w:highlight w:val="none"/>
              </w:rPr>
              <w:t>分</w:t>
            </w:r>
          </w:p>
          <w:p>
            <w:pPr>
              <w:spacing w:line="360" w:lineRule="auto"/>
              <w:rPr>
                <w:rFonts w:ascii="宋体" w:hAnsi="宋体"/>
                <w:color w:val="auto"/>
                <w:sz w:val="18"/>
                <w:szCs w:val="18"/>
                <w:highlight w:val="none"/>
              </w:rPr>
            </w:pPr>
            <w:r>
              <w:rPr>
                <w:rFonts w:hint="eastAsia" w:ascii="宋体" w:hAnsi="宋体"/>
                <w:color w:val="auto"/>
                <w:sz w:val="18"/>
                <w:szCs w:val="18"/>
                <w:highlight w:val="none"/>
              </w:rPr>
              <w:t>其他因素 (C)</w:t>
            </w:r>
          </w:p>
          <w:p>
            <w:pPr>
              <w:spacing w:line="360" w:lineRule="auto"/>
              <w:rPr>
                <w:rFonts w:ascii="宋体" w:hAnsi="宋体"/>
                <w:color w:val="auto"/>
                <w:sz w:val="18"/>
                <w:szCs w:val="18"/>
                <w:highlight w:val="none"/>
              </w:rPr>
            </w:pPr>
            <w:r>
              <w:rPr>
                <w:rFonts w:hint="eastAsia" w:ascii="宋体" w:hAnsi="宋体"/>
                <w:color w:val="auto"/>
                <w:sz w:val="18"/>
                <w:szCs w:val="18"/>
                <w:highlight w:val="none"/>
              </w:rPr>
              <w:t>技术能力：</w:t>
            </w:r>
            <w:r>
              <w:rPr>
                <w:rFonts w:hint="eastAsia" w:ascii="宋体" w:hAnsi="宋体"/>
                <w:color w:val="auto"/>
                <w:sz w:val="18"/>
                <w:szCs w:val="18"/>
                <w:highlight w:val="none"/>
                <w:u w:val="single"/>
              </w:rPr>
              <w:t>20</w:t>
            </w:r>
            <w:r>
              <w:rPr>
                <w:rFonts w:hint="eastAsia" w:ascii="宋体" w:hAnsi="宋体"/>
                <w:color w:val="auto"/>
                <w:sz w:val="18"/>
                <w:szCs w:val="18"/>
                <w:highlight w:val="none"/>
              </w:rPr>
              <w:t>分</w:t>
            </w:r>
          </w:p>
          <w:p>
            <w:pPr>
              <w:pStyle w:val="5"/>
              <w:ind w:firstLine="0" w:firstLineChars="0"/>
              <w:rPr>
                <w:color w:val="auto"/>
                <w:highlight w:val="none"/>
              </w:rPr>
            </w:pPr>
            <w:r>
              <w:rPr>
                <w:rFonts w:ascii="宋体" w:hAnsi="宋体"/>
                <w:color w:val="auto"/>
                <w:kern w:val="2"/>
                <w:sz w:val="18"/>
                <w:szCs w:val="18"/>
                <w:highlight w:val="none"/>
              </w:rPr>
              <w:t>履约信誉：</w:t>
            </w:r>
            <w:r>
              <w:rPr>
                <w:rFonts w:hint="eastAsia" w:ascii="宋体" w:hAnsi="宋体"/>
                <w:color w:val="auto"/>
                <w:kern w:val="2"/>
                <w:sz w:val="18"/>
                <w:szCs w:val="18"/>
                <w:highlight w:val="none"/>
                <w:u w:val="single"/>
                <w:lang w:val="en-US" w:eastAsia="zh-CN"/>
              </w:rPr>
              <w:t>15</w:t>
            </w:r>
            <w:r>
              <w:rPr>
                <w:rFonts w:hint="eastAsia" w:ascii="宋体" w:hAnsi="宋体"/>
                <w:color w:val="auto"/>
                <w:kern w:val="2"/>
                <w:sz w:val="18"/>
                <w:szCs w:val="18"/>
                <w:highlight w:val="none"/>
              </w:rPr>
              <w:t>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c>
          <w:tcPr>
            <w:tcW w:w="1816" w:type="dxa"/>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2.2.3</w:t>
            </w:r>
          </w:p>
        </w:tc>
        <w:tc>
          <w:tcPr>
            <w:tcW w:w="1956" w:type="dxa"/>
            <w:noWrap w:val="0"/>
            <w:vAlign w:val="center"/>
          </w:tcPr>
          <w:p>
            <w:pPr>
              <w:spacing w:line="360" w:lineRule="auto"/>
              <w:ind w:right="113"/>
              <w:jc w:val="center"/>
              <w:rPr>
                <w:rFonts w:ascii="宋体" w:hAnsi="宋体" w:cs="宋体"/>
                <w:color w:val="auto"/>
                <w:szCs w:val="21"/>
                <w:highlight w:val="none"/>
              </w:rPr>
            </w:pPr>
            <w:r>
              <w:rPr>
                <w:rFonts w:ascii="宋体" w:hAnsi="宋体" w:eastAsia="Times New Roman" w:cs="宋体"/>
                <w:color w:val="auto"/>
                <w:sz w:val="20"/>
                <w:highlight w:val="none"/>
              </w:rPr>
              <w:t>第二个信封详细评审标准</w:t>
            </w:r>
          </w:p>
        </w:tc>
        <w:tc>
          <w:tcPr>
            <w:tcW w:w="5300" w:type="dxa"/>
            <w:noWrap w:val="0"/>
            <w:vAlign w:val="center"/>
          </w:tcPr>
          <w:p>
            <w:pPr>
              <w:spacing w:line="360" w:lineRule="auto"/>
              <w:ind w:right="113"/>
              <w:jc w:val="left"/>
              <w:rPr>
                <w:rFonts w:ascii="宋体" w:hAnsi="宋体" w:cs="宋体"/>
                <w:color w:val="auto"/>
                <w:szCs w:val="21"/>
                <w:highlight w:val="none"/>
              </w:rPr>
            </w:pPr>
            <w:r>
              <w:rPr>
                <w:rFonts w:hint="eastAsia" w:ascii="宋体" w:hAnsi="宋体" w:cs="宋体"/>
                <w:color w:val="auto"/>
                <w:szCs w:val="21"/>
                <w:highlight w:val="none"/>
              </w:rPr>
              <w:t>评标价的评审：</w:t>
            </w:r>
          </w:p>
          <w:p>
            <w:pPr>
              <w:pStyle w:val="5"/>
              <w:spacing w:line="360" w:lineRule="auto"/>
              <w:ind w:firstLine="0" w:firstLineChars="0"/>
              <w:jc w:val="left"/>
              <w:rPr>
                <w:rFonts w:ascii="宋体" w:hAnsi="宋体" w:cs="宋体"/>
                <w:color w:val="auto"/>
                <w:sz w:val="21"/>
                <w:szCs w:val="21"/>
                <w:highlight w:val="none"/>
              </w:rPr>
            </w:pPr>
            <w:r>
              <w:rPr>
                <w:rFonts w:hint="eastAsia" w:ascii="宋体" w:hAnsi="宋体" w:cs="宋体"/>
                <w:color w:val="auto"/>
                <w:sz w:val="21"/>
                <w:szCs w:val="21"/>
                <w:highlight w:val="none"/>
              </w:rPr>
              <w:t>（1）评标价计算公式：</w:t>
            </w:r>
          </w:p>
          <w:p>
            <w:pPr>
              <w:pStyle w:val="5"/>
              <w:spacing w:line="360" w:lineRule="auto"/>
              <w:ind w:firstLine="0" w:firstLineChars="0"/>
              <w:jc w:val="left"/>
              <w:rPr>
                <w:rFonts w:ascii="宋体" w:hAnsi="宋体" w:cs="宋体"/>
                <w:color w:val="auto"/>
                <w:sz w:val="21"/>
                <w:szCs w:val="21"/>
                <w:highlight w:val="none"/>
              </w:rPr>
            </w:pPr>
            <w:r>
              <w:rPr>
                <w:rFonts w:hint="eastAsia" w:ascii="宋体" w:hAnsi="宋体" w:cs="宋体"/>
                <w:color w:val="auto"/>
                <w:sz w:val="21"/>
                <w:szCs w:val="21"/>
                <w:highlight w:val="none"/>
              </w:rPr>
              <w:t>评标价=修正后的投标报价一暂估价一暂列金额（不含计日工总额）</w:t>
            </w:r>
          </w:p>
          <w:p>
            <w:pPr>
              <w:pStyle w:val="5"/>
              <w:spacing w:line="360" w:lineRule="auto"/>
              <w:ind w:firstLine="420"/>
              <w:jc w:val="left"/>
              <w:rPr>
                <w:rFonts w:ascii="宋体" w:hAnsi="宋体" w:cs="宋体"/>
                <w:color w:val="auto"/>
                <w:sz w:val="21"/>
                <w:szCs w:val="21"/>
                <w:highlight w:val="none"/>
              </w:rPr>
            </w:pPr>
            <w:r>
              <w:rPr>
                <w:rFonts w:hint="eastAsia" w:ascii="宋体" w:hAnsi="宋体" w:cs="宋体"/>
                <w:color w:val="auto"/>
                <w:sz w:val="21"/>
                <w:szCs w:val="21"/>
                <w:highlight w:val="none"/>
              </w:rPr>
              <w:t>若投标人的评标价小于最高投标限价85％的，启动澄清程序，要求投标人作出书面说明并提供相关证明材料。投标人不能合理说明或者不能提供相关证明资料的，评标委员会认定该投标人以低于成本报价竞标，否决其投标。当所有投标人的投标因此种情况被否决；或当因此种情况被否决部分投标人后，有效投标人不足三家，评标委员会认为竞争不足的情况出现时，评标委员会可以否决全部投标。未否决全部投标的，评标委员会应当在评标报告中阐明理由并推荐中标候选人。</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c>
          <w:tcPr>
            <w:tcW w:w="1816" w:type="dxa"/>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3.2.4</w:t>
            </w:r>
          </w:p>
        </w:tc>
        <w:tc>
          <w:tcPr>
            <w:tcW w:w="1956" w:type="dxa"/>
            <w:noWrap w:val="0"/>
            <w:vAlign w:val="center"/>
          </w:tcPr>
          <w:p>
            <w:pPr>
              <w:spacing w:line="360" w:lineRule="auto"/>
              <w:ind w:right="113"/>
              <w:rPr>
                <w:rFonts w:ascii="宋体" w:hAnsi="宋体" w:cs="宋体"/>
                <w:color w:val="auto"/>
                <w:szCs w:val="21"/>
                <w:highlight w:val="none"/>
              </w:rPr>
            </w:pPr>
            <w:r>
              <w:rPr>
                <w:rFonts w:hint="eastAsia" w:ascii="宋体" w:hAnsi="宋体" w:cs="宋体"/>
                <w:color w:val="auto"/>
                <w:szCs w:val="21"/>
                <w:highlight w:val="none"/>
              </w:rPr>
              <w:t>通过第一个信封详细评审的投标人数量</w:t>
            </w:r>
          </w:p>
        </w:tc>
        <w:tc>
          <w:tcPr>
            <w:tcW w:w="5300" w:type="dxa"/>
            <w:noWrap w:val="0"/>
            <w:vAlign w:val="center"/>
          </w:tcPr>
          <w:p>
            <w:pPr>
              <w:spacing w:line="360" w:lineRule="auto"/>
              <w:ind w:right="113"/>
              <w:rPr>
                <w:rFonts w:ascii="宋体" w:hAnsi="宋体" w:cs="宋体"/>
                <w:color w:val="auto"/>
                <w:szCs w:val="21"/>
                <w:highlight w:val="none"/>
              </w:rPr>
            </w:pPr>
            <w:r>
              <w:rPr>
                <w:rFonts w:hint="eastAsia" w:ascii="宋体" w:hAnsi="宋体" w:cs="宋体"/>
                <w:color w:val="auto"/>
                <w:szCs w:val="21"/>
                <w:highlight w:val="none"/>
              </w:rPr>
              <w:t>按照投标人的商务和技术得分由高到低排序，选择前5名（不足5名时，按全部实际数量）通过详细评审</w:t>
            </w:r>
          </w:p>
        </w:tc>
      </w:tr>
    </w:tbl>
    <w:p>
      <w:pPr>
        <w:rPr>
          <w:color w:val="auto"/>
          <w:highlight w:val="none"/>
        </w:rPr>
      </w:pPr>
    </w:p>
    <w:p>
      <w:pPr>
        <w:pStyle w:val="5"/>
        <w:ind w:firstLine="480"/>
        <w:rPr>
          <w:color w:val="auto"/>
          <w:highlight w:val="none"/>
        </w:rPr>
      </w:pPr>
    </w:p>
    <w:p>
      <w:pPr>
        <w:pStyle w:val="5"/>
        <w:ind w:firstLine="480"/>
        <w:rPr>
          <w:color w:val="auto"/>
          <w:highlight w:val="none"/>
        </w:rPr>
      </w:pPr>
    </w:p>
    <w:p>
      <w:pPr>
        <w:pStyle w:val="5"/>
        <w:ind w:firstLine="480"/>
        <w:rPr>
          <w:color w:val="auto"/>
          <w:highlight w:val="none"/>
        </w:rPr>
      </w:pPr>
    </w:p>
    <w:p>
      <w:pPr>
        <w:pStyle w:val="5"/>
        <w:ind w:firstLine="480"/>
        <w:rPr>
          <w:color w:val="auto"/>
          <w:highlight w:val="none"/>
        </w:rPr>
      </w:pPr>
    </w:p>
    <w:p>
      <w:pPr>
        <w:pStyle w:val="5"/>
        <w:ind w:firstLine="0" w:firstLineChars="0"/>
        <w:rPr>
          <w:color w:val="auto"/>
          <w:highlight w:val="none"/>
        </w:rPr>
      </w:pPr>
      <w:r>
        <w:rPr>
          <w:color w:val="auto"/>
          <w:highlight w:val="none"/>
        </w:rPr>
        <w:br w:type="page"/>
      </w:r>
    </w:p>
    <w:p>
      <w:pPr>
        <w:pStyle w:val="5"/>
        <w:ind w:firstLine="480"/>
        <w:rPr>
          <w:color w:val="auto"/>
          <w:highlight w:val="none"/>
        </w:rPr>
      </w:pPr>
    </w:p>
    <w:tbl>
      <w:tblPr>
        <w:tblStyle w:val="6"/>
        <w:tblpPr w:leftFromText="180" w:rightFromText="180" w:vertAnchor="text" w:horzAnchor="page" w:tblpX="1517" w:tblpY="1"/>
        <w:tblOverlap w:val="never"/>
        <w:tblW w:w="9072" w:type="dxa"/>
        <w:tblInd w:w="-15"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727"/>
        <w:gridCol w:w="568"/>
        <w:gridCol w:w="634"/>
        <w:gridCol w:w="946"/>
        <w:gridCol w:w="840"/>
        <w:gridCol w:w="535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c>
          <w:tcPr>
            <w:tcW w:w="3715" w:type="dxa"/>
            <w:gridSpan w:val="5"/>
            <w:noWrap w:val="0"/>
            <w:vAlign w:val="center"/>
          </w:tcPr>
          <w:p>
            <w:pPr>
              <w:spacing w:line="360" w:lineRule="auto"/>
              <w:ind w:right="113"/>
              <w:jc w:val="center"/>
              <w:rPr>
                <w:rFonts w:ascii="宋体" w:hAnsi="宋体" w:cs="宋体"/>
                <w:b/>
                <w:bCs/>
                <w:color w:val="auto"/>
                <w:szCs w:val="21"/>
                <w:highlight w:val="none"/>
              </w:rPr>
            </w:pPr>
            <w:r>
              <w:rPr>
                <w:rFonts w:ascii="宋体" w:hAnsi="宋体" w:cs="宋体"/>
                <w:b/>
                <w:bCs/>
                <w:color w:val="auto"/>
                <w:szCs w:val="21"/>
                <w:highlight w:val="none"/>
              </w:rPr>
              <w:t>评分因素与权重分值</w:t>
            </w:r>
          </w:p>
        </w:tc>
        <w:tc>
          <w:tcPr>
            <w:tcW w:w="5357" w:type="dxa"/>
            <w:vMerge w:val="restart"/>
            <w:noWrap w:val="0"/>
            <w:vAlign w:val="center"/>
          </w:tcPr>
          <w:p>
            <w:pPr>
              <w:spacing w:line="360" w:lineRule="auto"/>
              <w:ind w:right="113"/>
              <w:jc w:val="center"/>
              <w:rPr>
                <w:rFonts w:ascii="宋体" w:hAnsi="宋体" w:cs="宋体"/>
                <w:color w:val="auto"/>
                <w:szCs w:val="21"/>
                <w:highlight w:val="none"/>
              </w:rPr>
            </w:pPr>
            <w:r>
              <w:rPr>
                <w:rFonts w:ascii="宋体" w:hAnsi="宋体" w:eastAsia="Times New Roman" w:cs="宋体"/>
                <w:b/>
                <w:bCs/>
                <w:color w:val="auto"/>
                <w:sz w:val="22"/>
                <w:highlight w:val="none"/>
              </w:rPr>
              <w:t>评分标准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096" w:hRule="atLeast"/>
        </w:trPr>
        <w:tc>
          <w:tcPr>
            <w:tcW w:w="727" w:type="dxa"/>
            <w:tcBorders>
              <w:right w:val="single" w:color="auto" w:sz="4" w:space="0"/>
            </w:tcBorders>
            <w:noWrap w:val="0"/>
            <w:vAlign w:val="center"/>
          </w:tcPr>
          <w:p>
            <w:pPr>
              <w:spacing w:line="360" w:lineRule="auto"/>
              <w:ind w:right="113"/>
              <w:jc w:val="center"/>
              <w:rPr>
                <w:rFonts w:ascii="宋体" w:hAnsi="宋体" w:cs="宋体"/>
                <w:b/>
                <w:bCs/>
                <w:color w:val="auto"/>
                <w:szCs w:val="21"/>
                <w:highlight w:val="none"/>
              </w:rPr>
            </w:pPr>
            <w:r>
              <w:rPr>
                <w:rFonts w:hint="eastAsia" w:ascii="宋体" w:hAnsi="宋体" w:cs="宋体"/>
                <w:b/>
                <w:bCs/>
                <w:color w:val="auto"/>
                <w:szCs w:val="21"/>
                <w:highlight w:val="none"/>
              </w:rPr>
              <w:t>条款号</w:t>
            </w:r>
          </w:p>
        </w:tc>
        <w:tc>
          <w:tcPr>
            <w:tcW w:w="568" w:type="dxa"/>
            <w:tcBorders>
              <w:left w:val="single" w:color="auto" w:sz="4" w:space="0"/>
              <w:right w:val="single" w:color="auto" w:sz="4" w:space="0"/>
            </w:tcBorders>
            <w:noWrap w:val="0"/>
            <w:vAlign w:val="center"/>
          </w:tcPr>
          <w:p>
            <w:pPr>
              <w:spacing w:line="360" w:lineRule="auto"/>
              <w:ind w:right="113"/>
              <w:jc w:val="center"/>
              <w:rPr>
                <w:rFonts w:ascii="宋体" w:hAnsi="宋体" w:cs="宋体"/>
                <w:b/>
                <w:bCs/>
                <w:color w:val="auto"/>
                <w:szCs w:val="21"/>
                <w:highlight w:val="none"/>
              </w:rPr>
            </w:pPr>
            <w:r>
              <w:rPr>
                <w:rFonts w:hint="eastAsia" w:ascii="宋体" w:hAnsi="宋体" w:cs="宋体"/>
                <w:b/>
                <w:bCs/>
                <w:color w:val="auto"/>
                <w:szCs w:val="21"/>
                <w:highlight w:val="none"/>
              </w:rPr>
              <w:t>评分</w:t>
            </w:r>
          </w:p>
          <w:p>
            <w:pPr>
              <w:spacing w:line="360" w:lineRule="auto"/>
              <w:ind w:right="113"/>
              <w:jc w:val="center"/>
              <w:rPr>
                <w:rFonts w:ascii="宋体" w:hAnsi="宋体" w:cs="宋体"/>
                <w:b/>
                <w:bCs/>
                <w:color w:val="auto"/>
                <w:szCs w:val="21"/>
                <w:highlight w:val="none"/>
              </w:rPr>
            </w:pPr>
            <w:r>
              <w:rPr>
                <w:rFonts w:hint="eastAsia" w:ascii="宋体" w:hAnsi="宋体" w:cs="宋体"/>
                <w:b/>
                <w:bCs/>
                <w:color w:val="auto"/>
                <w:szCs w:val="21"/>
                <w:highlight w:val="none"/>
              </w:rPr>
              <w:t>因素</w:t>
            </w:r>
          </w:p>
        </w:tc>
        <w:tc>
          <w:tcPr>
            <w:tcW w:w="634" w:type="dxa"/>
            <w:tcBorders>
              <w:left w:val="single" w:color="auto" w:sz="4" w:space="0"/>
            </w:tcBorders>
            <w:noWrap w:val="0"/>
            <w:vAlign w:val="center"/>
          </w:tcPr>
          <w:p>
            <w:pPr>
              <w:spacing w:line="360" w:lineRule="auto"/>
              <w:ind w:right="113"/>
              <w:jc w:val="center"/>
              <w:rPr>
                <w:rFonts w:ascii="宋体" w:hAnsi="宋体" w:cs="宋体"/>
                <w:b/>
                <w:bCs/>
                <w:color w:val="auto"/>
                <w:szCs w:val="21"/>
                <w:highlight w:val="none"/>
              </w:rPr>
            </w:pPr>
            <w:r>
              <w:rPr>
                <w:rFonts w:hint="eastAsia" w:ascii="宋体" w:hAnsi="宋体" w:cs="宋体"/>
                <w:b/>
                <w:bCs/>
                <w:color w:val="auto"/>
                <w:szCs w:val="21"/>
                <w:highlight w:val="none"/>
              </w:rPr>
              <w:t>评分</w:t>
            </w:r>
          </w:p>
          <w:p>
            <w:pPr>
              <w:spacing w:line="360" w:lineRule="auto"/>
              <w:ind w:right="113"/>
              <w:jc w:val="center"/>
              <w:rPr>
                <w:rFonts w:ascii="宋体" w:hAnsi="宋体" w:cs="宋体"/>
                <w:b/>
                <w:bCs/>
                <w:color w:val="auto"/>
                <w:szCs w:val="21"/>
                <w:highlight w:val="none"/>
              </w:rPr>
            </w:pPr>
            <w:r>
              <w:rPr>
                <w:rFonts w:hint="eastAsia" w:ascii="宋体" w:hAnsi="宋体" w:cs="宋体"/>
                <w:b/>
                <w:bCs/>
                <w:color w:val="auto"/>
                <w:szCs w:val="21"/>
                <w:highlight w:val="none"/>
              </w:rPr>
              <w:t>因素权重</w:t>
            </w:r>
          </w:p>
        </w:tc>
        <w:tc>
          <w:tcPr>
            <w:tcW w:w="946" w:type="dxa"/>
            <w:tcBorders>
              <w:right w:val="single" w:color="auto" w:sz="4" w:space="0"/>
            </w:tcBorders>
            <w:noWrap w:val="0"/>
            <w:vAlign w:val="center"/>
          </w:tcPr>
          <w:p>
            <w:pPr>
              <w:spacing w:line="360" w:lineRule="auto"/>
              <w:ind w:right="113"/>
              <w:jc w:val="center"/>
              <w:rPr>
                <w:rFonts w:ascii="宋体" w:hAnsi="宋体" w:cs="宋体"/>
                <w:b/>
                <w:bCs/>
                <w:color w:val="auto"/>
                <w:szCs w:val="21"/>
                <w:highlight w:val="none"/>
              </w:rPr>
            </w:pPr>
            <w:r>
              <w:rPr>
                <w:rFonts w:hint="eastAsia" w:ascii="宋体" w:hAnsi="宋体" w:cs="宋体"/>
                <w:b/>
                <w:bCs/>
                <w:color w:val="auto"/>
                <w:szCs w:val="21"/>
                <w:highlight w:val="none"/>
              </w:rPr>
              <w:t>各评分因素细分项</w:t>
            </w:r>
          </w:p>
        </w:tc>
        <w:tc>
          <w:tcPr>
            <w:tcW w:w="840" w:type="dxa"/>
            <w:tcBorders>
              <w:left w:val="single" w:color="auto" w:sz="4" w:space="0"/>
            </w:tcBorders>
            <w:noWrap w:val="0"/>
            <w:vAlign w:val="center"/>
          </w:tcPr>
          <w:p>
            <w:pPr>
              <w:spacing w:line="360" w:lineRule="auto"/>
              <w:ind w:right="113"/>
              <w:jc w:val="center"/>
              <w:rPr>
                <w:rFonts w:ascii="宋体" w:hAnsi="宋体" w:cs="宋体"/>
                <w:b/>
                <w:bCs/>
                <w:color w:val="auto"/>
                <w:szCs w:val="21"/>
                <w:highlight w:val="none"/>
              </w:rPr>
            </w:pPr>
            <w:r>
              <w:rPr>
                <w:rFonts w:hint="eastAsia" w:ascii="宋体" w:hAnsi="宋体" w:cs="宋体"/>
                <w:b/>
                <w:bCs/>
                <w:color w:val="auto"/>
                <w:szCs w:val="21"/>
                <w:highlight w:val="none"/>
              </w:rPr>
              <w:t>分值</w:t>
            </w:r>
          </w:p>
        </w:tc>
        <w:tc>
          <w:tcPr>
            <w:tcW w:w="5357" w:type="dxa"/>
            <w:vMerge w:val="continue"/>
            <w:noWrap w:val="0"/>
            <w:vAlign w:val="center"/>
          </w:tcPr>
          <w:p>
            <w:pPr>
              <w:spacing w:line="360" w:lineRule="auto"/>
              <w:ind w:right="113"/>
              <w:rPr>
                <w:rFonts w:ascii="宋体" w:hAnsi="宋体" w:cs="宋体"/>
                <w:color w:val="auto"/>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c>
          <w:tcPr>
            <w:tcW w:w="727" w:type="dxa"/>
            <w:vMerge w:val="restart"/>
            <w:tcBorders>
              <w:right w:val="single" w:color="auto" w:sz="4" w:space="0"/>
            </w:tcBorders>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2.2.2</w:t>
            </w:r>
          </w:p>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（1）</w:t>
            </w:r>
          </w:p>
        </w:tc>
        <w:tc>
          <w:tcPr>
            <w:tcW w:w="568" w:type="dxa"/>
            <w:vMerge w:val="restart"/>
            <w:tcBorders>
              <w:left w:val="single" w:color="auto" w:sz="4" w:space="0"/>
              <w:right w:val="single" w:color="auto" w:sz="4" w:space="0"/>
            </w:tcBorders>
            <w:noWrap w:val="0"/>
            <w:vAlign w:val="center"/>
          </w:tcPr>
          <w:p>
            <w:pPr>
              <w:rPr>
                <w:rFonts w:ascii="宋体" w:hAnsi="宋体" w:cs="宋体"/>
                <w:color w:val="auto"/>
                <w:szCs w:val="21"/>
                <w:highlight w:val="none"/>
              </w:rPr>
            </w:pPr>
            <w:r>
              <w:rPr>
                <w:rFonts w:hint="eastAsia" w:ascii="宋体" w:hAnsi="宋体"/>
                <w:color w:val="auto"/>
                <w:sz w:val="18"/>
                <w:szCs w:val="18"/>
                <w:highlight w:val="none"/>
              </w:rPr>
              <w:t>施工组织设计</w:t>
            </w:r>
          </w:p>
        </w:tc>
        <w:tc>
          <w:tcPr>
            <w:tcW w:w="634" w:type="dxa"/>
            <w:vMerge w:val="restart"/>
            <w:tcBorders>
              <w:left w:val="single" w:color="auto" w:sz="4" w:space="0"/>
            </w:tcBorders>
            <w:noWrap w:val="0"/>
            <w:vAlign w:val="center"/>
          </w:tcPr>
          <w:p>
            <w:pPr>
              <w:pStyle w:val="9"/>
              <w:shd w:val="clear" w:color="auto" w:fill="auto"/>
              <w:spacing w:before="0" w:line="360" w:lineRule="auto"/>
              <w:jc w:val="center"/>
              <w:rPr>
                <w:rFonts w:ascii="宋体" w:hAnsi="宋体" w:cs="宋体"/>
                <w:color w:val="auto"/>
                <w:szCs w:val="21"/>
                <w:highlight w:val="none"/>
              </w:rPr>
            </w:pPr>
            <w:r>
              <w:rPr>
                <w:rFonts w:hint="eastAsia" w:ascii="宋体" w:hAnsi="宋体" w:eastAsia="宋体"/>
                <w:color w:val="auto"/>
                <w:kern w:val="2"/>
                <w:sz w:val="18"/>
                <w:szCs w:val="18"/>
                <w:highlight w:val="none"/>
              </w:rPr>
              <w:t>40分</w:t>
            </w:r>
          </w:p>
        </w:tc>
        <w:tc>
          <w:tcPr>
            <w:tcW w:w="946" w:type="dxa"/>
            <w:tcBorders>
              <w:right w:val="single" w:color="auto" w:sz="4" w:space="0"/>
            </w:tcBorders>
            <w:noWrap w:val="0"/>
            <w:vAlign w:val="center"/>
          </w:tcPr>
          <w:p>
            <w:pPr>
              <w:spacing w:line="360" w:lineRule="auto"/>
              <w:jc w:val="center"/>
              <w:rPr>
                <w:rFonts w:ascii="宋体" w:hAnsi="宋体" w:cs="宋体"/>
                <w:color w:val="auto"/>
                <w:szCs w:val="21"/>
                <w:highlight w:val="none"/>
              </w:rPr>
            </w:pPr>
            <w:r>
              <w:rPr>
                <w:rFonts w:hint="eastAsia" w:ascii="宋体" w:hAnsi="宋体"/>
                <w:color w:val="auto"/>
                <w:sz w:val="18"/>
                <w:szCs w:val="18"/>
                <w:highlight w:val="none"/>
              </w:rPr>
              <w:t>工期保证体系及保证措施</w:t>
            </w:r>
          </w:p>
        </w:tc>
        <w:tc>
          <w:tcPr>
            <w:tcW w:w="840" w:type="dxa"/>
            <w:tcBorders>
              <w:left w:val="single" w:color="auto" w:sz="4" w:space="0"/>
            </w:tcBorders>
            <w:noWrap w:val="0"/>
            <w:vAlign w:val="center"/>
          </w:tcPr>
          <w:p>
            <w:pPr>
              <w:spacing w:line="360" w:lineRule="auto"/>
              <w:ind w:firstLine="180" w:firstLineChars="100"/>
              <w:rPr>
                <w:rFonts w:ascii="宋体" w:hAnsi="宋体" w:cs="宋体"/>
                <w:color w:val="auto"/>
                <w:szCs w:val="21"/>
                <w:highlight w:val="none"/>
              </w:rPr>
            </w:pPr>
            <w:r>
              <w:rPr>
                <w:rFonts w:hint="eastAsia" w:ascii="宋体" w:hAnsi="宋体"/>
                <w:color w:val="auto"/>
                <w:sz w:val="18"/>
                <w:szCs w:val="18"/>
                <w:highlight w:val="none"/>
              </w:rPr>
              <w:t>12分</w:t>
            </w:r>
          </w:p>
        </w:tc>
        <w:tc>
          <w:tcPr>
            <w:tcW w:w="5357" w:type="dxa"/>
            <w:noWrap w:val="0"/>
            <w:vAlign w:val="center"/>
          </w:tcPr>
          <w:p>
            <w:pPr>
              <w:tabs>
                <w:tab w:val="left" w:pos="380"/>
                <w:tab w:val="left" w:pos="840"/>
                <w:tab w:val="left" w:pos="1260"/>
              </w:tabs>
              <w:snapToGrid w:val="0"/>
              <w:spacing w:line="260" w:lineRule="exact"/>
              <w:ind w:left="9" w:hanging="9" w:hangingChars="5"/>
              <w:rPr>
                <w:rFonts w:ascii="宋体" w:hAnsi="宋体"/>
                <w:color w:val="auto"/>
                <w:sz w:val="18"/>
                <w:szCs w:val="18"/>
                <w:highlight w:val="none"/>
              </w:rPr>
            </w:pPr>
            <w:r>
              <w:rPr>
                <w:rFonts w:hint="eastAsia" w:ascii="宋体" w:hAnsi="宋体"/>
                <w:color w:val="auto"/>
                <w:sz w:val="18"/>
                <w:szCs w:val="18"/>
                <w:highlight w:val="none"/>
              </w:rPr>
              <w:t>（</w:t>
            </w:r>
            <w:r>
              <w:rPr>
                <w:rFonts w:ascii="宋体" w:hAnsi="宋体"/>
                <w:color w:val="auto"/>
                <w:sz w:val="18"/>
                <w:szCs w:val="18"/>
                <w:highlight w:val="none"/>
              </w:rPr>
              <w:t>1）</w:t>
            </w:r>
            <w:r>
              <w:rPr>
                <w:rFonts w:hint="eastAsia" w:ascii="宋体" w:hAnsi="宋体"/>
                <w:color w:val="auto"/>
                <w:sz w:val="18"/>
                <w:szCs w:val="18"/>
                <w:highlight w:val="none"/>
              </w:rPr>
              <w:t>进度</w:t>
            </w:r>
            <w:r>
              <w:rPr>
                <w:rFonts w:ascii="宋体" w:hAnsi="宋体"/>
                <w:color w:val="auto"/>
                <w:sz w:val="18"/>
                <w:szCs w:val="18"/>
                <w:highlight w:val="none"/>
              </w:rPr>
              <w:t>控制措施得当，对</w:t>
            </w:r>
            <w:r>
              <w:rPr>
                <w:rFonts w:hint="eastAsia" w:ascii="宋体" w:hAnsi="宋体"/>
                <w:color w:val="auto"/>
                <w:sz w:val="18"/>
                <w:szCs w:val="18"/>
                <w:highlight w:val="none"/>
              </w:rPr>
              <w:t>本项目的工期重要性理解特别透彻，对地形地貌特征、</w:t>
            </w:r>
            <w:r>
              <w:rPr>
                <w:rFonts w:ascii="宋体" w:hAnsi="宋体"/>
                <w:color w:val="auto"/>
                <w:sz w:val="18"/>
                <w:szCs w:val="18"/>
                <w:highlight w:val="none"/>
              </w:rPr>
              <w:t>重点工序、天气、关键设备故障、</w:t>
            </w:r>
            <w:r>
              <w:rPr>
                <w:rFonts w:hint="eastAsia" w:ascii="宋体" w:hAnsi="宋体"/>
                <w:color w:val="auto"/>
                <w:sz w:val="18"/>
                <w:szCs w:val="18"/>
                <w:highlight w:val="none"/>
              </w:rPr>
              <w:t>与</w:t>
            </w:r>
            <w:r>
              <w:rPr>
                <w:rFonts w:ascii="宋体" w:hAnsi="宋体"/>
                <w:color w:val="auto"/>
                <w:sz w:val="18"/>
                <w:szCs w:val="18"/>
                <w:highlight w:val="none"/>
              </w:rPr>
              <w:t>其他承包人衔接、社会环境等问题有切实可行的应</w:t>
            </w:r>
            <w:r>
              <w:rPr>
                <w:rFonts w:hint="eastAsia" w:ascii="宋体" w:hAnsi="宋体"/>
                <w:color w:val="auto"/>
                <w:sz w:val="18"/>
                <w:szCs w:val="18"/>
                <w:highlight w:val="none"/>
              </w:rPr>
              <w:t>对或应</w:t>
            </w:r>
            <w:r>
              <w:rPr>
                <w:rFonts w:ascii="宋体" w:hAnsi="宋体"/>
                <w:color w:val="auto"/>
                <w:sz w:val="18"/>
                <w:szCs w:val="18"/>
                <w:highlight w:val="none"/>
              </w:rPr>
              <w:t>急方案，计划</w:t>
            </w:r>
            <w:r>
              <w:rPr>
                <w:rFonts w:hint="eastAsia" w:ascii="宋体" w:hAnsi="宋体"/>
                <w:color w:val="auto"/>
                <w:sz w:val="18"/>
                <w:szCs w:val="18"/>
                <w:highlight w:val="none"/>
              </w:rPr>
              <w:t>科学合理</w:t>
            </w:r>
            <w:r>
              <w:rPr>
                <w:rFonts w:ascii="宋体" w:hAnsi="宋体"/>
                <w:color w:val="auto"/>
                <w:sz w:val="18"/>
                <w:szCs w:val="18"/>
                <w:highlight w:val="none"/>
              </w:rPr>
              <w:t>，</w:t>
            </w:r>
            <w:r>
              <w:rPr>
                <w:rFonts w:hint="eastAsia" w:ascii="宋体" w:hAnsi="宋体"/>
                <w:color w:val="auto"/>
                <w:sz w:val="18"/>
                <w:szCs w:val="18"/>
                <w:highlight w:val="none"/>
              </w:rPr>
              <w:t>可操作性</w:t>
            </w:r>
            <w:r>
              <w:rPr>
                <w:rFonts w:ascii="宋体" w:hAnsi="宋体"/>
                <w:color w:val="auto"/>
                <w:sz w:val="18"/>
                <w:szCs w:val="18"/>
                <w:highlight w:val="none"/>
              </w:rPr>
              <w:t>高，得</w:t>
            </w:r>
            <w:r>
              <w:rPr>
                <w:rFonts w:hint="eastAsia" w:ascii="宋体" w:hAnsi="宋体"/>
                <w:color w:val="auto"/>
                <w:sz w:val="18"/>
                <w:szCs w:val="18"/>
                <w:highlight w:val="none"/>
                <w:u w:val="single"/>
              </w:rPr>
              <w:t>9.6～12</w:t>
            </w:r>
            <w:r>
              <w:rPr>
                <w:rFonts w:hint="eastAsia" w:ascii="宋体" w:hAnsi="宋体"/>
                <w:color w:val="auto"/>
                <w:sz w:val="18"/>
                <w:szCs w:val="18"/>
                <w:highlight w:val="none"/>
              </w:rPr>
              <w:t>分（满分分值的80%～100%）；</w:t>
            </w:r>
          </w:p>
          <w:p>
            <w:pPr>
              <w:tabs>
                <w:tab w:val="left" w:pos="380"/>
                <w:tab w:val="left" w:pos="840"/>
                <w:tab w:val="left" w:pos="1260"/>
              </w:tabs>
              <w:snapToGrid w:val="0"/>
              <w:spacing w:line="260" w:lineRule="exact"/>
              <w:ind w:left="9" w:hanging="9" w:hangingChars="5"/>
              <w:rPr>
                <w:rFonts w:ascii="宋体" w:hAnsi="宋体"/>
                <w:color w:val="auto"/>
                <w:sz w:val="18"/>
                <w:szCs w:val="18"/>
                <w:highlight w:val="none"/>
              </w:rPr>
            </w:pPr>
            <w:r>
              <w:rPr>
                <w:rFonts w:hint="eastAsia" w:ascii="宋体" w:hAnsi="宋体"/>
                <w:color w:val="auto"/>
                <w:sz w:val="18"/>
                <w:szCs w:val="18"/>
                <w:highlight w:val="none"/>
              </w:rPr>
              <w:t>（2）工期保证体系及保证措施基本可行，内容较为充实、全面的，得</w:t>
            </w:r>
            <w:r>
              <w:rPr>
                <w:rFonts w:hint="eastAsia" w:ascii="宋体" w:hAnsi="宋体"/>
                <w:color w:val="auto"/>
                <w:sz w:val="18"/>
                <w:szCs w:val="18"/>
                <w:highlight w:val="none"/>
                <w:u w:val="single"/>
              </w:rPr>
              <w:t>7.3～9.5</w:t>
            </w:r>
            <w:r>
              <w:rPr>
                <w:rFonts w:hint="eastAsia" w:ascii="宋体" w:hAnsi="宋体"/>
                <w:color w:val="auto"/>
                <w:sz w:val="18"/>
                <w:szCs w:val="18"/>
                <w:highlight w:val="none"/>
              </w:rPr>
              <w:t>分（满分分值的60%～80%）；</w:t>
            </w:r>
          </w:p>
          <w:p>
            <w:pPr>
              <w:tabs>
                <w:tab w:val="left" w:pos="380"/>
                <w:tab w:val="left" w:pos="840"/>
                <w:tab w:val="left" w:pos="1260"/>
              </w:tabs>
              <w:snapToGrid w:val="0"/>
              <w:spacing w:line="260" w:lineRule="exact"/>
              <w:ind w:left="9" w:hanging="9" w:hangingChars="5"/>
              <w:rPr>
                <w:rFonts w:ascii="宋体" w:hAnsi="宋体" w:cs="宋体"/>
                <w:color w:val="auto"/>
                <w:szCs w:val="21"/>
                <w:highlight w:val="none"/>
              </w:rPr>
            </w:pPr>
            <w:r>
              <w:rPr>
                <w:rFonts w:hint="eastAsia" w:ascii="宋体" w:hAnsi="宋体"/>
                <w:color w:val="auto"/>
                <w:sz w:val="18"/>
                <w:szCs w:val="18"/>
                <w:highlight w:val="none"/>
              </w:rPr>
              <w:t>（3）一般但不被评定为不响应的,起评分</w:t>
            </w:r>
            <w:r>
              <w:rPr>
                <w:rFonts w:hint="eastAsia" w:ascii="宋体" w:hAnsi="宋体"/>
                <w:color w:val="auto"/>
                <w:sz w:val="18"/>
                <w:szCs w:val="18"/>
                <w:highlight w:val="none"/>
                <w:u w:val="single"/>
              </w:rPr>
              <w:t>7.2</w:t>
            </w:r>
            <w:r>
              <w:rPr>
                <w:rFonts w:ascii="宋体" w:hAnsi="宋体"/>
                <w:color w:val="auto"/>
                <w:sz w:val="18"/>
                <w:szCs w:val="18"/>
                <w:highlight w:val="none"/>
              </w:rPr>
              <w:t>分</w:t>
            </w:r>
            <w:r>
              <w:rPr>
                <w:rFonts w:hint="eastAsia" w:ascii="宋体" w:hAnsi="宋体"/>
                <w:color w:val="auto"/>
                <w:sz w:val="18"/>
                <w:szCs w:val="18"/>
                <w:highlight w:val="none"/>
              </w:rPr>
              <w:t>（满分分值的60%）。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c>
          <w:tcPr>
            <w:tcW w:w="727" w:type="dxa"/>
            <w:vMerge w:val="continue"/>
            <w:tcBorders>
              <w:right w:val="single" w:color="auto" w:sz="4" w:space="0"/>
            </w:tcBorders>
            <w:noWrap w:val="0"/>
            <w:vAlign w:val="center"/>
          </w:tcPr>
          <w:p>
            <w:pPr>
              <w:spacing w:line="360" w:lineRule="auto"/>
              <w:ind w:right="113"/>
              <w:jc w:val="center"/>
              <w:rPr>
                <w:rFonts w:ascii="宋体" w:hAnsi="宋体" w:cs="宋体"/>
                <w:color w:val="auto"/>
                <w:szCs w:val="21"/>
                <w:highlight w:val="none"/>
              </w:rPr>
            </w:pPr>
          </w:p>
        </w:tc>
        <w:tc>
          <w:tcPr>
            <w:tcW w:w="568" w:type="dxa"/>
            <w:vMerge w:val="continue"/>
            <w:tcBorders>
              <w:left w:val="single" w:color="auto" w:sz="4" w:space="0"/>
              <w:right w:val="single" w:color="auto" w:sz="4" w:space="0"/>
            </w:tcBorders>
            <w:noWrap w:val="0"/>
            <w:vAlign w:val="center"/>
          </w:tcPr>
          <w:p>
            <w:pPr>
              <w:rPr>
                <w:rFonts w:ascii="宋体" w:hAnsi="宋体" w:cs="宋体"/>
                <w:color w:val="auto"/>
                <w:szCs w:val="21"/>
                <w:highlight w:val="none"/>
              </w:rPr>
            </w:pPr>
          </w:p>
        </w:tc>
        <w:tc>
          <w:tcPr>
            <w:tcW w:w="634" w:type="dxa"/>
            <w:vMerge w:val="continue"/>
            <w:tcBorders>
              <w:left w:val="single" w:color="auto" w:sz="4" w:space="0"/>
            </w:tcBorders>
            <w:noWrap w:val="0"/>
            <w:vAlign w:val="center"/>
          </w:tcPr>
          <w:p>
            <w:pPr>
              <w:spacing w:line="360" w:lineRule="auto"/>
              <w:rPr>
                <w:rFonts w:ascii="宋体" w:hAnsi="宋体" w:cs="宋体"/>
                <w:color w:val="auto"/>
                <w:szCs w:val="21"/>
                <w:highlight w:val="none"/>
              </w:rPr>
            </w:pPr>
          </w:p>
        </w:tc>
        <w:tc>
          <w:tcPr>
            <w:tcW w:w="946" w:type="dxa"/>
            <w:tcBorders>
              <w:right w:val="single" w:color="auto" w:sz="4" w:space="0"/>
            </w:tcBorders>
            <w:noWrap w:val="0"/>
            <w:vAlign w:val="center"/>
          </w:tcPr>
          <w:p>
            <w:pPr>
              <w:spacing w:line="360" w:lineRule="auto"/>
              <w:rPr>
                <w:rFonts w:ascii="宋体" w:hAnsi="宋体" w:cs="宋体"/>
                <w:color w:val="auto"/>
                <w:szCs w:val="21"/>
                <w:highlight w:val="none"/>
              </w:rPr>
            </w:pPr>
            <w:r>
              <w:rPr>
                <w:rFonts w:hint="eastAsia" w:ascii="宋体" w:hAnsi="宋体"/>
                <w:color w:val="auto"/>
                <w:sz w:val="18"/>
                <w:szCs w:val="18"/>
                <w:highlight w:val="none"/>
              </w:rPr>
              <w:t>质量、安全保证体系及保证措施</w:t>
            </w:r>
          </w:p>
        </w:tc>
        <w:tc>
          <w:tcPr>
            <w:tcW w:w="840" w:type="dxa"/>
            <w:tcBorders>
              <w:left w:val="single" w:color="auto" w:sz="4" w:space="0"/>
            </w:tcBorders>
            <w:noWrap w:val="0"/>
            <w:vAlign w:val="center"/>
          </w:tcPr>
          <w:p>
            <w:pPr>
              <w:spacing w:line="360" w:lineRule="auto"/>
              <w:ind w:firstLine="180" w:firstLineChars="100"/>
              <w:rPr>
                <w:rFonts w:ascii="宋体" w:hAnsi="宋体" w:cs="宋体"/>
                <w:color w:val="auto"/>
                <w:szCs w:val="21"/>
                <w:highlight w:val="none"/>
              </w:rPr>
            </w:pPr>
            <w:r>
              <w:rPr>
                <w:rFonts w:hint="eastAsia" w:ascii="宋体" w:hAnsi="宋体"/>
                <w:color w:val="auto"/>
                <w:sz w:val="18"/>
                <w:szCs w:val="18"/>
                <w:highlight w:val="none"/>
              </w:rPr>
              <w:t>16分</w:t>
            </w:r>
          </w:p>
        </w:tc>
        <w:tc>
          <w:tcPr>
            <w:tcW w:w="5357" w:type="dxa"/>
            <w:noWrap w:val="0"/>
            <w:vAlign w:val="center"/>
          </w:tcPr>
          <w:p>
            <w:pPr>
              <w:spacing w:line="360" w:lineRule="auto"/>
              <w:rPr>
                <w:rFonts w:ascii="宋体" w:hAnsi="宋体"/>
                <w:color w:val="auto"/>
                <w:sz w:val="18"/>
                <w:szCs w:val="18"/>
                <w:highlight w:val="none"/>
              </w:rPr>
            </w:pPr>
            <w:r>
              <w:rPr>
                <w:rFonts w:hint="eastAsia" w:ascii="宋体" w:hAnsi="宋体"/>
                <w:color w:val="auto"/>
                <w:sz w:val="18"/>
                <w:szCs w:val="18"/>
                <w:highlight w:val="none"/>
              </w:rPr>
              <w:t>（1）对本项目质量及安全控制有透彻的认识，对施工过程中可能发生的各种质量和安全问题有深刻的认识和合理的预见，并有相应的应对措施，应对措施应科学、充分，能有效处理各种突发问题的，</w:t>
            </w:r>
            <w:r>
              <w:rPr>
                <w:rFonts w:ascii="宋体" w:hAnsi="宋体"/>
                <w:color w:val="auto"/>
                <w:sz w:val="18"/>
                <w:szCs w:val="18"/>
                <w:highlight w:val="none"/>
              </w:rPr>
              <w:t>得</w:t>
            </w:r>
            <w:r>
              <w:rPr>
                <w:rFonts w:hint="eastAsia" w:ascii="宋体" w:hAnsi="宋体"/>
                <w:color w:val="auto"/>
                <w:sz w:val="18"/>
                <w:szCs w:val="18"/>
                <w:highlight w:val="none"/>
                <w:u w:val="single"/>
              </w:rPr>
              <w:t>12.8～16</w:t>
            </w:r>
            <w:r>
              <w:rPr>
                <w:rFonts w:hint="eastAsia" w:ascii="宋体" w:hAnsi="宋体"/>
                <w:color w:val="auto"/>
                <w:sz w:val="18"/>
                <w:szCs w:val="18"/>
                <w:highlight w:val="none"/>
              </w:rPr>
              <w:t>分（满分分值的80%～100%）；</w:t>
            </w:r>
          </w:p>
          <w:p>
            <w:pPr>
              <w:spacing w:line="360" w:lineRule="auto"/>
              <w:rPr>
                <w:rFonts w:ascii="宋体" w:hAnsi="宋体"/>
                <w:color w:val="auto"/>
                <w:sz w:val="18"/>
                <w:szCs w:val="18"/>
                <w:highlight w:val="none"/>
              </w:rPr>
            </w:pPr>
            <w:r>
              <w:rPr>
                <w:rFonts w:hint="eastAsia" w:ascii="宋体" w:hAnsi="宋体"/>
                <w:color w:val="auto"/>
                <w:sz w:val="18"/>
                <w:szCs w:val="18"/>
                <w:highlight w:val="none"/>
              </w:rPr>
              <w:t>（2）对本项目质量及安全控制有一定的认识，基本能合理的预见施工过程中可能发生的各种质量和安全问题，并有相应的应对措施，应对措施较为科学、充分，基本能有效处理各种质量和安全问题的，得</w:t>
            </w:r>
            <w:r>
              <w:rPr>
                <w:rFonts w:hint="eastAsia" w:ascii="宋体" w:hAnsi="宋体"/>
                <w:color w:val="auto"/>
                <w:sz w:val="18"/>
                <w:szCs w:val="18"/>
                <w:highlight w:val="none"/>
                <w:u w:val="single"/>
              </w:rPr>
              <w:t>9.7～12.8</w:t>
            </w:r>
            <w:r>
              <w:rPr>
                <w:rFonts w:hint="eastAsia" w:ascii="宋体" w:hAnsi="宋体"/>
                <w:color w:val="auto"/>
                <w:sz w:val="18"/>
                <w:szCs w:val="18"/>
                <w:highlight w:val="none"/>
              </w:rPr>
              <w:t>分（满分分值的60%～80%）；</w:t>
            </w:r>
          </w:p>
          <w:p>
            <w:pPr>
              <w:spacing w:line="360" w:lineRule="auto"/>
              <w:rPr>
                <w:color w:val="auto"/>
                <w:highlight w:val="none"/>
              </w:rPr>
            </w:pPr>
            <w:r>
              <w:rPr>
                <w:rFonts w:hint="eastAsia" w:ascii="宋体" w:hAnsi="宋体"/>
                <w:color w:val="auto"/>
                <w:sz w:val="18"/>
                <w:szCs w:val="18"/>
                <w:highlight w:val="none"/>
              </w:rPr>
              <w:t>（3）一般但不被评定为不响应的, 起评分</w:t>
            </w:r>
            <w:r>
              <w:rPr>
                <w:rFonts w:hint="eastAsia" w:ascii="宋体" w:hAnsi="宋体"/>
                <w:color w:val="auto"/>
                <w:sz w:val="18"/>
                <w:szCs w:val="18"/>
                <w:highlight w:val="none"/>
                <w:u w:val="single"/>
              </w:rPr>
              <w:t>9.6</w:t>
            </w:r>
            <w:r>
              <w:rPr>
                <w:rFonts w:ascii="宋体" w:hAnsi="宋体"/>
                <w:color w:val="auto"/>
                <w:sz w:val="18"/>
                <w:szCs w:val="18"/>
                <w:highlight w:val="none"/>
              </w:rPr>
              <w:t>分</w:t>
            </w:r>
            <w:r>
              <w:rPr>
                <w:rFonts w:hint="eastAsia" w:ascii="宋体" w:hAnsi="宋体"/>
                <w:color w:val="auto"/>
                <w:sz w:val="18"/>
                <w:szCs w:val="18"/>
                <w:highlight w:val="none"/>
              </w:rPr>
              <w:t>（满分分值的60%）。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c>
          <w:tcPr>
            <w:tcW w:w="727" w:type="dxa"/>
            <w:vMerge w:val="continue"/>
            <w:tcBorders>
              <w:right w:val="single" w:color="auto" w:sz="4" w:space="0"/>
            </w:tcBorders>
            <w:noWrap w:val="0"/>
            <w:vAlign w:val="center"/>
          </w:tcPr>
          <w:p>
            <w:pPr>
              <w:spacing w:line="360" w:lineRule="auto"/>
              <w:ind w:right="113"/>
              <w:jc w:val="center"/>
              <w:rPr>
                <w:rFonts w:ascii="宋体" w:hAnsi="宋体" w:cs="宋体"/>
                <w:color w:val="auto"/>
                <w:szCs w:val="21"/>
                <w:highlight w:val="none"/>
              </w:rPr>
            </w:pPr>
          </w:p>
        </w:tc>
        <w:tc>
          <w:tcPr>
            <w:tcW w:w="568" w:type="dxa"/>
            <w:vMerge w:val="continue"/>
            <w:tcBorders>
              <w:left w:val="single" w:color="auto" w:sz="4" w:space="0"/>
              <w:right w:val="single" w:color="auto" w:sz="4" w:space="0"/>
            </w:tcBorders>
            <w:noWrap w:val="0"/>
            <w:vAlign w:val="center"/>
          </w:tcPr>
          <w:p>
            <w:pPr>
              <w:rPr>
                <w:rFonts w:ascii="宋体" w:hAnsi="宋体" w:cs="宋体"/>
                <w:color w:val="auto"/>
                <w:szCs w:val="21"/>
                <w:highlight w:val="none"/>
              </w:rPr>
            </w:pPr>
          </w:p>
        </w:tc>
        <w:tc>
          <w:tcPr>
            <w:tcW w:w="634" w:type="dxa"/>
            <w:vMerge w:val="continue"/>
            <w:tcBorders>
              <w:left w:val="single" w:color="auto" w:sz="4" w:space="0"/>
            </w:tcBorders>
            <w:noWrap w:val="0"/>
            <w:vAlign w:val="center"/>
          </w:tcPr>
          <w:p>
            <w:pPr>
              <w:spacing w:line="360" w:lineRule="auto"/>
              <w:rPr>
                <w:rFonts w:ascii="宋体" w:hAnsi="宋体" w:cs="宋体"/>
                <w:color w:val="auto"/>
                <w:szCs w:val="21"/>
                <w:highlight w:val="none"/>
              </w:rPr>
            </w:pPr>
          </w:p>
        </w:tc>
        <w:tc>
          <w:tcPr>
            <w:tcW w:w="946" w:type="dxa"/>
            <w:tcBorders>
              <w:right w:val="single" w:color="auto" w:sz="4" w:space="0"/>
            </w:tcBorders>
            <w:noWrap w:val="0"/>
            <w:vAlign w:val="center"/>
          </w:tcPr>
          <w:p>
            <w:pPr>
              <w:spacing w:line="360" w:lineRule="auto"/>
              <w:rPr>
                <w:rFonts w:ascii="宋体" w:hAnsi="宋体" w:cs="宋体"/>
                <w:color w:val="auto"/>
                <w:szCs w:val="21"/>
                <w:highlight w:val="none"/>
              </w:rPr>
            </w:pPr>
            <w:r>
              <w:rPr>
                <w:rFonts w:hint="eastAsia" w:ascii="宋体" w:hAnsi="宋体"/>
                <w:color w:val="auto"/>
                <w:sz w:val="18"/>
                <w:szCs w:val="18"/>
                <w:highlight w:val="none"/>
              </w:rPr>
              <w:t>环境保护、文明施工保证体系及措施</w:t>
            </w:r>
          </w:p>
        </w:tc>
        <w:tc>
          <w:tcPr>
            <w:tcW w:w="840" w:type="dxa"/>
            <w:tcBorders>
              <w:left w:val="single" w:color="auto" w:sz="4" w:space="0"/>
            </w:tcBorders>
            <w:noWrap w:val="0"/>
            <w:vAlign w:val="center"/>
          </w:tcPr>
          <w:p>
            <w:pPr>
              <w:spacing w:line="360" w:lineRule="auto"/>
              <w:ind w:firstLine="180" w:firstLineChars="100"/>
              <w:rPr>
                <w:rFonts w:ascii="宋体" w:hAnsi="宋体" w:cs="宋体"/>
                <w:color w:val="auto"/>
                <w:szCs w:val="21"/>
                <w:highlight w:val="none"/>
              </w:rPr>
            </w:pPr>
            <w:r>
              <w:rPr>
                <w:rFonts w:hint="eastAsia" w:ascii="宋体" w:hAnsi="宋体"/>
                <w:color w:val="auto"/>
                <w:sz w:val="18"/>
                <w:szCs w:val="18"/>
                <w:highlight w:val="none"/>
              </w:rPr>
              <w:t>12分</w:t>
            </w:r>
          </w:p>
        </w:tc>
        <w:tc>
          <w:tcPr>
            <w:tcW w:w="5357" w:type="dxa"/>
            <w:noWrap w:val="0"/>
            <w:vAlign w:val="center"/>
          </w:tcPr>
          <w:p>
            <w:pPr>
              <w:spacing w:line="360" w:lineRule="auto"/>
              <w:rPr>
                <w:rFonts w:ascii="宋体" w:hAnsi="宋体"/>
                <w:color w:val="auto"/>
                <w:sz w:val="18"/>
                <w:szCs w:val="18"/>
                <w:highlight w:val="none"/>
              </w:rPr>
            </w:pPr>
            <w:r>
              <w:rPr>
                <w:rFonts w:hint="eastAsia" w:ascii="宋体" w:hAnsi="宋体"/>
                <w:color w:val="auto"/>
                <w:sz w:val="18"/>
                <w:szCs w:val="18"/>
                <w:highlight w:val="none"/>
              </w:rPr>
              <w:t>（1）对本项目的环保及文明施工等工作有独到的见解，能制定科学的措施，施工做到符合环保的要求，对文明施工有相应的措施，能创造良好的施工环境的，</w:t>
            </w:r>
            <w:r>
              <w:rPr>
                <w:rFonts w:ascii="宋体" w:hAnsi="宋体"/>
                <w:color w:val="auto"/>
                <w:sz w:val="18"/>
                <w:szCs w:val="18"/>
                <w:highlight w:val="none"/>
              </w:rPr>
              <w:t>得</w:t>
            </w:r>
            <w:r>
              <w:rPr>
                <w:rFonts w:hint="eastAsia" w:ascii="宋体" w:hAnsi="宋体"/>
                <w:color w:val="auto"/>
                <w:sz w:val="18"/>
                <w:szCs w:val="18"/>
                <w:highlight w:val="none"/>
                <w:u w:val="single"/>
              </w:rPr>
              <w:t>9.6～12</w:t>
            </w:r>
            <w:r>
              <w:rPr>
                <w:rFonts w:hint="eastAsia" w:ascii="宋体" w:hAnsi="宋体"/>
                <w:color w:val="auto"/>
                <w:sz w:val="18"/>
                <w:szCs w:val="18"/>
                <w:highlight w:val="none"/>
              </w:rPr>
              <w:t>分（满分分值的80%～100%）；</w:t>
            </w:r>
          </w:p>
          <w:p>
            <w:pPr>
              <w:spacing w:line="360" w:lineRule="auto"/>
              <w:rPr>
                <w:rFonts w:ascii="宋体" w:hAnsi="宋体"/>
                <w:color w:val="auto"/>
                <w:sz w:val="18"/>
                <w:szCs w:val="18"/>
                <w:highlight w:val="none"/>
              </w:rPr>
            </w:pPr>
            <w:r>
              <w:rPr>
                <w:rFonts w:hint="eastAsia" w:ascii="宋体" w:hAnsi="宋体"/>
                <w:color w:val="auto"/>
                <w:sz w:val="18"/>
                <w:szCs w:val="18"/>
                <w:highlight w:val="none"/>
              </w:rPr>
              <w:t>（</w:t>
            </w:r>
            <w:r>
              <w:rPr>
                <w:rFonts w:ascii="宋体" w:hAnsi="宋体"/>
                <w:color w:val="auto"/>
                <w:sz w:val="18"/>
                <w:szCs w:val="18"/>
                <w:highlight w:val="none"/>
              </w:rPr>
              <w:t>2</w:t>
            </w:r>
            <w:r>
              <w:rPr>
                <w:rFonts w:hint="eastAsia" w:ascii="宋体" w:hAnsi="宋体"/>
                <w:color w:val="auto"/>
                <w:sz w:val="18"/>
                <w:szCs w:val="18"/>
                <w:highlight w:val="none"/>
              </w:rPr>
              <w:t>）对工程环保及文明施工等工作制定有相关的措施，基本能满足本项目环保及文明施工的要求的，得</w:t>
            </w:r>
            <w:r>
              <w:rPr>
                <w:rFonts w:hint="eastAsia" w:ascii="宋体" w:hAnsi="宋体"/>
                <w:color w:val="auto"/>
                <w:sz w:val="18"/>
                <w:szCs w:val="18"/>
                <w:highlight w:val="none"/>
                <w:u w:val="single"/>
              </w:rPr>
              <w:t>7.3～9.5</w:t>
            </w:r>
            <w:r>
              <w:rPr>
                <w:rFonts w:hint="eastAsia" w:ascii="宋体" w:hAnsi="宋体"/>
                <w:color w:val="auto"/>
                <w:sz w:val="18"/>
                <w:szCs w:val="18"/>
                <w:highlight w:val="none"/>
              </w:rPr>
              <w:t>分（满分分值的60%～80%）；</w:t>
            </w:r>
          </w:p>
          <w:p>
            <w:pPr>
              <w:spacing w:line="360" w:lineRule="auto"/>
              <w:rPr>
                <w:rFonts w:ascii="宋体" w:hAnsi="宋体" w:cs="宋体"/>
                <w:color w:val="auto"/>
                <w:szCs w:val="21"/>
                <w:highlight w:val="none"/>
              </w:rPr>
            </w:pPr>
            <w:r>
              <w:rPr>
                <w:rFonts w:hint="eastAsia" w:ascii="宋体" w:hAnsi="宋体"/>
                <w:color w:val="auto"/>
                <w:sz w:val="18"/>
                <w:szCs w:val="18"/>
                <w:highlight w:val="none"/>
              </w:rPr>
              <w:t>（3）一般但不被评定为不响应的, 起评分</w:t>
            </w:r>
            <w:r>
              <w:rPr>
                <w:rFonts w:hint="eastAsia" w:ascii="宋体" w:hAnsi="宋体"/>
                <w:color w:val="auto"/>
                <w:sz w:val="18"/>
                <w:szCs w:val="18"/>
                <w:highlight w:val="none"/>
                <w:u w:val="single"/>
              </w:rPr>
              <w:t>7.2</w:t>
            </w:r>
            <w:r>
              <w:rPr>
                <w:rFonts w:ascii="宋体" w:hAnsi="宋体"/>
                <w:color w:val="auto"/>
                <w:sz w:val="18"/>
                <w:szCs w:val="18"/>
                <w:highlight w:val="none"/>
              </w:rPr>
              <w:t>分</w:t>
            </w:r>
            <w:r>
              <w:rPr>
                <w:rFonts w:hint="eastAsia" w:ascii="宋体" w:hAnsi="宋体"/>
                <w:color w:val="auto"/>
                <w:sz w:val="18"/>
                <w:szCs w:val="18"/>
                <w:highlight w:val="none"/>
              </w:rPr>
              <w:t>（满分分值的60%）。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98" w:hRule="atLeast"/>
        </w:trPr>
        <w:tc>
          <w:tcPr>
            <w:tcW w:w="727" w:type="dxa"/>
            <w:vMerge w:val="restart"/>
            <w:tcBorders>
              <w:right w:val="single" w:color="auto" w:sz="4" w:space="0"/>
            </w:tcBorders>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2.2.2</w:t>
            </w:r>
          </w:p>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（2）</w:t>
            </w:r>
          </w:p>
        </w:tc>
        <w:tc>
          <w:tcPr>
            <w:tcW w:w="568" w:type="dxa"/>
            <w:vMerge w:val="restart"/>
            <w:tcBorders>
              <w:left w:val="single" w:color="auto" w:sz="4" w:space="0"/>
              <w:right w:val="single" w:color="auto" w:sz="4" w:space="0"/>
            </w:tcBorders>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主要人员</w:t>
            </w:r>
          </w:p>
        </w:tc>
        <w:tc>
          <w:tcPr>
            <w:tcW w:w="634" w:type="dxa"/>
            <w:vMerge w:val="restart"/>
            <w:tcBorders>
              <w:left w:val="single" w:color="auto" w:sz="4" w:space="0"/>
            </w:tcBorders>
            <w:noWrap w:val="0"/>
            <w:vAlign w:val="center"/>
          </w:tcPr>
          <w:p>
            <w:pPr>
              <w:pStyle w:val="9"/>
              <w:tabs>
                <w:tab w:val="left" w:leader="underscore" w:pos="319"/>
              </w:tabs>
              <w:spacing w:before="0" w:line="360" w:lineRule="auto"/>
              <w:jc w:val="center"/>
              <w:rPr>
                <w:rFonts w:ascii="宋体" w:hAnsi="宋体" w:cs="宋体"/>
                <w:color w:val="auto"/>
                <w:szCs w:val="21"/>
                <w:highlight w:val="none"/>
              </w:rPr>
            </w:pPr>
            <w:r>
              <w:rPr>
                <w:rFonts w:hint="eastAsia" w:ascii="宋体" w:hAnsi="宋体" w:eastAsia="宋体"/>
                <w:color w:val="auto"/>
                <w:kern w:val="2"/>
                <w:sz w:val="18"/>
                <w:szCs w:val="18"/>
                <w:highlight w:val="none"/>
              </w:rPr>
              <w:t>25分</w:t>
            </w:r>
          </w:p>
        </w:tc>
        <w:tc>
          <w:tcPr>
            <w:tcW w:w="946" w:type="dxa"/>
            <w:tcBorders>
              <w:bottom w:val="single" w:color="auto" w:sz="4" w:space="0"/>
              <w:right w:val="single" w:color="auto" w:sz="4" w:space="0"/>
            </w:tcBorders>
            <w:noWrap w:val="0"/>
            <w:vAlign w:val="center"/>
          </w:tcPr>
          <w:p>
            <w:pPr>
              <w:spacing w:line="360" w:lineRule="auto"/>
              <w:rPr>
                <w:rFonts w:ascii="宋体" w:hAnsi="宋体" w:cs="宋体"/>
                <w:color w:val="auto"/>
                <w:szCs w:val="21"/>
                <w:highlight w:val="none"/>
              </w:rPr>
            </w:pPr>
            <w:r>
              <w:rPr>
                <w:rFonts w:ascii="宋体" w:hAnsi="宋体"/>
                <w:color w:val="auto"/>
                <w:sz w:val="18"/>
                <w:szCs w:val="18"/>
                <w:highlight w:val="none"/>
              </w:rPr>
              <w:t>项目经理任职资格与业绩</w:t>
            </w:r>
          </w:p>
        </w:tc>
        <w:tc>
          <w:tcPr>
            <w:tcW w:w="840" w:type="dxa"/>
            <w:tcBorders>
              <w:left w:val="single" w:color="auto" w:sz="4" w:space="0"/>
              <w:bottom w:val="single" w:color="auto" w:sz="4" w:space="0"/>
            </w:tcBorders>
            <w:noWrap w:val="0"/>
            <w:vAlign w:val="center"/>
          </w:tcPr>
          <w:p>
            <w:pPr>
              <w:spacing w:line="360" w:lineRule="auto"/>
              <w:ind w:firstLine="180" w:firstLineChars="100"/>
              <w:rPr>
                <w:rFonts w:ascii="宋体" w:hAnsi="宋体" w:cs="宋体"/>
                <w:color w:val="auto"/>
                <w:szCs w:val="21"/>
                <w:highlight w:val="none"/>
              </w:rPr>
            </w:pPr>
            <w:r>
              <w:rPr>
                <w:rFonts w:hint="eastAsia" w:ascii="宋体" w:hAnsi="宋体"/>
                <w:color w:val="auto"/>
                <w:sz w:val="18"/>
                <w:szCs w:val="18"/>
                <w:highlight w:val="none"/>
              </w:rPr>
              <w:t>15</w:t>
            </w:r>
            <w:r>
              <w:rPr>
                <w:rFonts w:ascii="宋体" w:hAnsi="宋体"/>
                <w:color w:val="auto"/>
                <w:sz w:val="18"/>
                <w:szCs w:val="18"/>
                <w:highlight w:val="none"/>
              </w:rPr>
              <w:t>分</w:t>
            </w:r>
          </w:p>
        </w:tc>
        <w:tc>
          <w:tcPr>
            <w:tcW w:w="5357" w:type="dxa"/>
            <w:tcBorders>
              <w:bottom w:val="single" w:color="auto" w:sz="4" w:space="0"/>
            </w:tcBorders>
            <w:noWrap w:val="0"/>
            <w:vAlign w:val="center"/>
          </w:tcPr>
          <w:p>
            <w:pPr>
              <w:spacing w:line="360" w:lineRule="auto"/>
              <w:rPr>
                <w:rFonts w:ascii="宋体" w:hAnsi="宋体"/>
                <w:color w:val="auto"/>
                <w:szCs w:val="21"/>
                <w:highlight w:val="none"/>
              </w:rPr>
            </w:pPr>
            <w:r>
              <w:rPr>
                <w:rFonts w:hint="eastAsia" w:ascii="宋体" w:hAnsi="宋体"/>
                <w:color w:val="auto"/>
                <w:szCs w:val="21"/>
                <w:highlight w:val="none"/>
              </w:rPr>
              <w:t>（1）项目经</w:t>
            </w:r>
            <w:r>
              <w:rPr>
                <w:rFonts w:ascii="宋体" w:hAnsi="宋体"/>
                <w:color w:val="auto"/>
                <w:szCs w:val="21"/>
                <w:highlight w:val="none"/>
              </w:rPr>
              <w:t>理</w:t>
            </w:r>
            <w:r>
              <w:rPr>
                <w:rFonts w:hint="eastAsia" w:ascii="宋体" w:hAnsi="宋体"/>
                <w:color w:val="auto"/>
                <w:szCs w:val="21"/>
                <w:highlight w:val="none"/>
              </w:rPr>
              <w:t>（在</w:t>
            </w:r>
            <w:r>
              <w:rPr>
                <w:rFonts w:ascii="宋体" w:hAnsi="宋体"/>
                <w:color w:val="auto"/>
                <w:szCs w:val="21"/>
                <w:highlight w:val="none"/>
              </w:rPr>
              <w:t>满足资格审查</w:t>
            </w:r>
            <w:r>
              <w:rPr>
                <w:rFonts w:hint="eastAsia" w:ascii="宋体" w:hAnsi="宋体"/>
                <w:color w:val="auto"/>
                <w:szCs w:val="21"/>
                <w:highlight w:val="none"/>
              </w:rPr>
              <w:t>条件的最低</w:t>
            </w:r>
            <w:r>
              <w:rPr>
                <w:rFonts w:ascii="宋体" w:hAnsi="宋体"/>
                <w:color w:val="auto"/>
                <w:szCs w:val="21"/>
                <w:highlight w:val="none"/>
              </w:rPr>
              <w:t>要求</w:t>
            </w:r>
            <w:r>
              <w:rPr>
                <w:rFonts w:hint="eastAsia" w:ascii="宋体" w:hAnsi="宋体"/>
                <w:color w:val="auto"/>
                <w:szCs w:val="21"/>
                <w:highlight w:val="none"/>
              </w:rPr>
              <w:t>时），得</w:t>
            </w:r>
            <w:r>
              <w:rPr>
                <w:rFonts w:hint="eastAsia" w:ascii="宋体" w:hAnsi="宋体"/>
                <w:color w:val="auto"/>
                <w:szCs w:val="21"/>
                <w:highlight w:val="none"/>
                <w:u w:val="single"/>
              </w:rPr>
              <w:t>5</w:t>
            </w:r>
            <w:r>
              <w:rPr>
                <w:rFonts w:hint="eastAsia" w:ascii="宋体" w:hAnsi="宋体"/>
                <w:color w:val="auto"/>
                <w:szCs w:val="21"/>
                <w:highlight w:val="none"/>
              </w:rPr>
              <w:t>分；</w:t>
            </w:r>
          </w:p>
          <w:p>
            <w:pPr>
              <w:spacing w:line="360" w:lineRule="auto"/>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rPr>
              <w:t>）项目经理持有住房和城乡建设部门颁发的公路工程专业</w:t>
            </w:r>
            <w:r>
              <w:rPr>
                <w:rFonts w:hint="eastAsia" w:ascii="宋体" w:hAnsi="宋体"/>
                <w:color w:val="auto"/>
                <w:szCs w:val="21"/>
                <w:highlight w:val="none"/>
                <w:lang w:val="en-US" w:eastAsia="zh-CN"/>
              </w:rPr>
              <w:t>一</w:t>
            </w:r>
            <w:r>
              <w:rPr>
                <w:rFonts w:hint="eastAsia" w:ascii="宋体" w:hAnsi="宋体"/>
                <w:color w:val="auto"/>
                <w:szCs w:val="21"/>
                <w:highlight w:val="none"/>
              </w:rPr>
              <w:t>级建造师注册证书，加</w:t>
            </w:r>
            <w:r>
              <w:rPr>
                <w:rFonts w:hint="eastAsia" w:ascii="宋体" w:hAnsi="宋体"/>
                <w:color w:val="auto"/>
                <w:szCs w:val="21"/>
                <w:highlight w:val="none"/>
                <w:u w:val="single"/>
              </w:rPr>
              <w:t>5</w:t>
            </w:r>
            <w:r>
              <w:rPr>
                <w:rFonts w:hint="eastAsia" w:ascii="宋体" w:hAnsi="宋体"/>
                <w:color w:val="auto"/>
                <w:szCs w:val="21"/>
                <w:highlight w:val="none"/>
              </w:rPr>
              <w:t>分；</w:t>
            </w:r>
          </w:p>
          <w:p>
            <w:pPr>
              <w:spacing w:line="360" w:lineRule="auto"/>
              <w:rPr>
                <w:color w:val="auto"/>
                <w:highlight w:val="none"/>
              </w:rPr>
            </w:pPr>
            <w:r>
              <w:rPr>
                <w:rFonts w:hint="eastAsia" w:ascii="宋体" w:hAnsi="宋体"/>
                <w:color w:val="auto"/>
                <w:szCs w:val="21"/>
                <w:highlight w:val="none"/>
              </w:rPr>
              <w:t>（3）每担任1个类似项目项目经理岗位工作经验的，加5分，最多加5分。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330" w:hRule="atLeast"/>
        </w:trPr>
        <w:tc>
          <w:tcPr>
            <w:tcW w:w="727" w:type="dxa"/>
            <w:vMerge w:val="continue"/>
            <w:tcBorders>
              <w:right w:val="single" w:color="auto" w:sz="4" w:space="0"/>
            </w:tcBorders>
            <w:noWrap w:val="0"/>
            <w:vAlign w:val="center"/>
          </w:tcPr>
          <w:p>
            <w:pPr>
              <w:spacing w:line="360" w:lineRule="auto"/>
              <w:ind w:right="113"/>
              <w:jc w:val="center"/>
              <w:rPr>
                <w:rFonts w:ascii="宋体" w:hAnsi="宋体" w:cs="宋体"/>
                <w:color w:val="auto"/>
                <w:szCs w:val="21"/>
                <w:highlight w:val="none"/>
              </w:rPr>
            </w:pPr>
          </w:p>
        </w:tc>
        <w:tc>
          <w:tcPr>
            <w:tcW w:w="568" w:type="dxa"/>
            <w:vMerge w:val="continue"/>
            <w:tcBorders>
              <w:left w:val="single" w:color="auto" w:sz="4" w:space="0"/>
              <w:right w:val="single" w:color="auto" w:sz="4" w:space="0"/>
            </w:tcBorders>
            <w:noWrap w:val="0"/>
            <w:vAlign w:val="center"/>
          </w:tcPr>
          <w:p>
            <w:pPr>
              <w:spacing w:line="360" w:lineRule="auto"/>
              <w:ind w:right="113"/>
              <w:jc w:val="center"/>
              <w:rPr>
                <w:rFonts w:ascii="宋体" w:hAnsi="宋体" w:cs="宋体"/>
                <w:color w:val="auto"/>
                <w:szCs w:val="21"/>
                <w:highlight w:val="none"/>
              </w:rPr>
            </w:pPr>
          </w:p>
        </w:tc>
        <w:tc>
          <w:tcPr>
            <w:tcW w:w="634" w:type="dxa"/>
            <w:vMerge w:val="continue"/>
            <w:tcBorders>
              <w:left w:val="single" w:color="auto" w:sz="4" w:space="0"/>
            </w:tcBorders>
            <w:noWrap w:val="0"/>
            <w:vAlign w:val="center"/>
          </w:tcPr>
          <w:p>
            <w:pPr>
              <w:pStyle w:val="9"/>
              <w:shd w:val="clear" w:color="auto" w:fill="auto"/>
              <w:tabs>
                <w:tab w:val="left" w:leader="underscore" w:pos="319"/>
              </w:tabs>
              <w:spacing w:before="0" w:line="360" w:lineRule="auto"/>
              <w:jc w:val="center"/>
              <w:rPr>
                <w:rFonts w:ascii="宋体" w:hAnsi="宋体" w:cs="宋体"/>
                <w:color w:val="auto"/>
                <w:szCs w:val="21"/>
                <w:highlight w:val="none"/>
              </w:rPr>
            </w:pPr>
          </w:p>
        </w:tc>
        <w:tc>
          <w:tcPr>
            <w:tcW w:w="946" w:type="dxa"/>
            <w:tcBorders>
              <w:top w:val="single" w:color="auto" w:sz="4" w:space="0"/>
              <w:right w:val="single" w:color="auto" w:sz="4" w:space="0"/>
            </w:tcBorders>
            <w:noWrap w:val="0"/>
            <w:vAlign w:val="center"/>
          </w:tcPr>
          <w:p>
            <w:pPr>
              <w:spacing w:line="360" w:lineRule="auto"/>
              <w:rPr>
                <w:rFonts w:ascii="宋体" w:hAnsi="宋体" w:cs="宋体"/>
                <w:color w:val="auto"/>
                <w:szCs w:val="21"/>
                <w:highlight w:val="none"/>
              </w:rPr>
            </w:pPr>
            <w:r>
              <w:rPr>
                <w:rFonts w:ascii="宋体" w:hAnsi="宋体"/>
                <w:color w:val="auto"/>
                <w:sz w:val="18"/>
                <w:szCs w:val="18"/>
                <w:highlight w:val="none"/>
              </w:rPr>
              <w:t>项目总工任职资格与业绩</w:t>
            </w:r>
          </w:p>
        </w:tc>
        <w:tc>
          <w:tcPr>
            <w:tcW w:w="840" w:type="dxa"/>
            <w:tcBorders>
              <w:top w:val="single" w:color="auto" w:sz="4" w:space="0"/>
              <w:left w:val="single" w:color="auto" w:sz="4" w:space="0"/>
            </w:tcBorders>
            <w:noWrap w:val="0"/>
            <w:vAlign w:val="center"/>
          </w:tcPr>
          <w:p>
            <w:pPr>
              <w:spacing w:line="360" w:lineRule="auto"/>
              <w:ind w:firstLine="180" w:firstLineChars="100"/>
              <w:rPr>
                <w:rFonts w:ascii="宋体" w:hAnsi="宋体" w:cs="宋体"/>
                <w:color w:val="auto"/>
                <w:szCs w:val="21"/>
                <w:highlight w:val="none"/>
              </w:rPr>
            </w:pPr>
            <w:r>
              <w:rPr>
                <w:rFonts w:hint="eastAsia" w:ascii="宋体" w:hAnsi="宋体"/>
                <w:color w:val="auto"/>
                <w:sz w:val="18"/>
                <w:szCs w:val="18"/>
                <w:highlight w:val="none"/>
              </w:rPr>
              <w:t>10</w:t>
            </w:r>
            <w:r>
              <w:rPr>
                <w:rFonts w:ascii="宋体" w:hAnsi="宋体"/>
                <w:color w:val="auto"/>
                <w:sz w:val="18"/>
                <w:szCs w:val="18"/>
                <w:highlight w:val="none"/>
              </w:rPr>
              <w:t>分</w:t>
            </w:r>
          </w:p>
        </w:tc>
        <w:tc>
          <w:tcPr>
            <w:tcW w:w="5357" w:type="dxa"/>
            <w:tcBorders>
              <w:top w:val="single" w:color="auto" w:sz="4" w:space="0"/>
            </w:tcBorders>
            <w:noWrap w:val="0"/>
            <w:vAlign w:val="center"/>
          </w:tcPr>
          <w:p>
            <w:pPr>
              <w:numPr>
                <w:ilvl w:val="0"/>
                <w:numId w:val="1"/>
              </w:numPr>
              <w:spacing w:line="360" w:lineRule="auto"/>
              <w:rPr>
                <w:rFonts w:hint="eastAsia" w:ascii="宋体" w:hAnsi="宋体"/>
                <w:color w:val="auto"/>
                <w:szCs w:val="21"/>
                <w:highlight w:val="none"/>
              </w:rPr>
            </w:pPr>
            <w:r>
              <w:rPr>
                <w:rFonts w:hint="eastAsia" w:ascii="宋体" w:hAnsi="宋体"/>
                <w:color w:val="auto"/>
                <w:szCs w:val="21"/>
                <w:highlight w:val="none"/>
              </w:rPr>
              <w:t>项目总工在</w:t>
            </w:r>
            <w:r>
              <w:rPr>
                <w:rFonts w:ascii="宋体" w:hAnsi="宋体"/>
                <w:color w:val="auto"/>
                <w:szCs w:val="21"/>
                <w:highlight w:val="none"/>
              </w:rPr>
              <w:t>满足资格审查</w:t>
            </w:r>
            <w:r>
              <w:rPr>
                <w:rFonts w:hint="eastAsia" w:ascii="宋体" w:hAnsi="宋体"/>
                <w:color w:val="auto"/>
                <w:szCs w:val="21"/>
                <w:highlight w:val="none"/>
              </w:rPr>
              <w:t>条件的最低</w:t>
            </w:r>
            <w:r>
              <w:rPr>
                <w:rFonts w:ascii="宋体" w:hAnsi="宋体"/>
                <w:color w:val="auto"/>
                <w:szCs w:val="21"/>
                <w:highlight w:val="none"/>
              </w:rPr>
              <w:t>要求</w:t>
            </w:r>
            <w:r>
              <w:rPr>
                <w:rFonts w:hint="eastAsia" w:ascii="宋体" w:hAnsi="宋体"/>
                <w:color w:val="auto"/>
                <w:szCs w:val="21"/>
                <w:highlight w:val="none"/>
              </w:rPr>
              <w:t>时，得</w:t>
            </w:r>
            <w:r>
              <w:rPr>
                <w:rFonts w:hint="eastAsia" w:ascii="宋体" w:hAnsi="宋体"/>
                <w:color w:val="auto"/>
                <w:szCs w:val="21"/>
                <w:highlight w:val="none"/>
                <w:u w:val="single"/>
              </w:rPr>
              <w:t>5</w:t>
            </w:r>
            <w:r>
              <w:rPr>
                <w:rFonts w:hint="eastAsia" w:ascii="宋体" w:hAnsi="宋体"/>
                <w:color w:val="auto"/>
                <w:szCs w:val="21"/>
                <w:highlight w:val="none"/>
              </w:rPr>
              <w:t>分；</w:t>
            </w:r>
          </w:p>
          <w:p>
            <w:pPr>
              <w:spacing w:line="360" w:lineRule="auto"/>
              <w:rPr>
                <w:rFonts w:ascii="宋体" w:hAnsi="宋体"/>
                <w:color w:val="auto"/>
                <w:sz w:val="18"/>
                <w:szCs w:val="18"/>
                <w:highlight w:val="none"/>
              </w:rPr>
            </w:pPr>
            <w:r>
              <w:rPr>
                <w:rFonts w:hint="eastAsia" w:ascii="宋体" w:hAnsi="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rPr>
              <w:t>）每担任 1 个类似项目</w:t>
            </w:r>
            <w:r>
              <w:rPr>
                <w:rFonts w:hint="eastAsia" w:ascii="宋体" w:hAnsi="宋体" w:eastAsia="Times New Roman" w:cs="宋体"/>
                <w:color w:val="auto"/>
                <w:szCs w:val="21"/>
                <w:highlight w:val="none"/>
              </w:rPr>
              <w:t>主管技术工作</w:t>
            </w:r>
            <w:r>
              <w:rPr>
                <w:rFonts w:hint="eastAsia" w:ascii="宋体" w:hAnsi="宋体"/>
                <w:color w:val="auto"/>
                <w:szCs w:val="21"/>
                <w:highlight w:val="none"/>
              </w:rPr>
              <w:t>岗位工作经验的，加5分，最多加5分。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552" w:hRule="atLeast"/>
        </w:trPr>
        <w:tc>
          <w:tcPr>
            <w:tcW w:w="727" w:type="dxa"/>
            <w:vMerge w:val="restart"/>
            <w:tcBorders>
              <w:right w:val="single" w:color="auto" w:sz="4" w:space="0"/>
            </w:tcBorders>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2.2.2（3）</w:t>
            </w:r>
          </w:p>
        </w:tc>
        <w:tc>
          <w:tcPr>
            <w:tcW w:w="1202" w:type="dxa"/>
            <w:gridSpan w:val="2"/>
            <w:vMerge w:val="restart"/>
            <w:tcBorders>
              <w:left w:val="single" w:color="auto" w:sz="4" w:space="0"/>
            </w:tcBorders>
            <w:noWrap w:val="0"/>
            <w:vAlign w:val="center"/>
          </w:tcPr>
          <w:p>
            <w:pPr>
              <w:pStyle w:val="9"/>
              <w:shd w:val="clear" w:color="auto" w:fill="auto"/>
              <w:spacing w:before="0" w:line="360" w:lineRule="auto"/>
              <w:jc w:val="center"/>
              <w:rPr>
                <w:rFonts w:ascii="宋体" w:hAnsi="宋体" w:cs="宋体"/>
                <w:color w:val="auto"/>
                <w:szCs w:val="21"/>
                <w:highlight w:val="none"/>
              </w:rPr>
            </w:pPr>
            <w:r>
              <w:rPr>
                <w:rFonts w:hint="eastAsia" w:ascii="宋体" w:hAnsi="宋体" w:eastAsia="宋体" w:cs="MingLiU"/>
                <w:color w:val="auto"/>
                <w:sz w:val="18"/>
                <w:szCs w:val="18"/>
                <w:highlight w:val="none"/>
              </w:rPr>
              <w:t>其他因素</w:t>
            </w:r>
          </w:p>
        </w:tc>
        <w:tc>
          <w:tcPr>
            <w:tcW w:w="946" w:type="dxa"/>
            <w:tcBorders>
              <w:right w:val="single" w:color="auto" w:sz="4" w:space="0"/>
            </w:tcBorders>
            <w:noWrap w:val="0"/>
            <w:vAlign w:val="center"/>
          </w:tcPr>
          <w:p>
            <w:pPr>
              <w:jc w:val="center"/>
              <w:rPr>
                <w:rFonts w:ascii="宋体" w:hAnsi="宋体" w:cs="宋体"/>
                <w:color w:val="auto"/>
                <w:szCs w:val="21"/>
                <w:highlight w:val="none"/>
              </w:rPr>
            </w:pPr>
            <w:r>
              <w:rPr>
                <w:rFonts w:hint="eastAsia" w:ascii="宋体" w:hAnsi="宋体"/>
                <w:color w:val="auto"/>
                <w:sz w:val="18"/>
                <w:szCs w:val="18"/>
                <w:highlight w:val="none"/>
              </w:rPr>
              <w:t>技术能力</w:t>
            </w:r>
          </w:p>
        </w:tc>
        <w:tc>
          <w:tcPr>
            <w:tcW w:w="840" w:type="dxa"/>
            <w:tcBorders>
              <w:left w:val="single" w:color="auto" w:sz="4" w:space="0"/>
            </w:tcBorders>
            <w:noWrap w:val="0"/>
            <w:vAlign w:val="center"/>
          </w:tcPr>
          <w:p>
            <w:pPr>
              <w:jc w:val="center"/>
              <w:rPr>
                <w:rFonts w:ascii="宋体" w:hAnsi="宋体" w:cs="宋体"/>
                <w:color w:val="auto"/>
                <w:szCs w:val="21"/>
                <w:highlight w:val="none"/>
              </w:rPr>
            </w:pPr>
            <w:r>
              <w:rPr>
                <w:rFonts w:hint="eastAsia" w:ascii="宋体" w:hAnsi="宋体"/>
                <w:color w:val="auto"/>
                <w:sz w:val="18"/>
                <w:szCs w:val="18"/>
                <w:highlight w:val="none"/>
                <w:u w:val="single"/>
              </w:rPr>
              <w:t>20</w:t>
            </w:r>
            <w:r>
              <w:rPr>
                <w:rFonts w:ascii="宋体" w:hAnsi="宋体"/>
                <w:color w:val="auto"/>
                <w:sz w:val="18"/>
                <w:szCs w:val="18"/>
                <w:highlight w:val="none"/>
                <w:u w:val="single"/>
              </w:rPr>
              <w:t>分</w:t>
            </w:r>
          </w:p>
        </w:tc>
        <w:tc>
          <w:tcPr>
            <w:tcW w:w="5357" w:type="dxa"/>
            <w:noWrap w:val="0"/>
            <w:vAlign w:val="center"/>
          </w:tcPr>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(1)投标人获得与项目施工有关的国家级工法、专利(发明专利或实用新型专利)、国家级科学技术进步奖、主编或参编过国家标准、鲁班奖、詹天佑奖，每项加</w:t>
            </w:r>
            <w:r>
              <w:rPr>
                <w:rFonts w:hint="eastAsia" w:ascii="宋体" w:hAnsi="宋体" w:cs="宋体"/>
                <w:color w:val="auto"/>
                <w:szCs w:val="21"/>
                <w:highlight w:val="none"/>
                <w:u w:val="single"/>
              </w:rPr>
              <w:t>_2</w:t>
            </w:r>
            <w:r>
              <w:rPr>
                <w:rFonts w:hint="eastAsia" w:ascii="宋体" w:hAnsi="宋体" w:cs="宋体"/>
                <w:color w:val="auto"/>
                <w:szCs w:val="21"/>
                <w:highlight w:val="none"/>
              </w:rPr>
              <w:t>分;</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(2)投标人获得省级科学技术进步奖，主编或参编过的行业或地方(指省级)标准，每项加</w:t>
            </w:r>
            <w:r>
              <w:rPr>
                <w:rFonts w:hint="eastAsia" w:ascii="宋体" w:hAnsi="宋体" w:cs="宋体"/>
                <w:color w:val="auto"/>
                <w:szCs w:val="21"/>
                <w:highlight w:val="none"/>
                <w:u w:val="single"/>
              </w:rPr>
              <w:t xml:space="preserve"> 0.5 </w:t>
            </w:r>
            <w:r>
              <w:rPr>
                <w:rFonts w:hint="eastAsia" w:ascii="宋体" w:hAnsi="宋体" w:cs="宋体"/>
                <w:color w:val="auto"/>
                <w:szCs w:val="21"/>
                <w:highlight w:val="none"/>
              </w:rPr>
              <w:t>分；</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注：</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1、本项最高得分20分；</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2、同一工程项目获奖不重复计分，按较高分计一次；</w:t>
            </w:r>
          </w:p>
          <w:p>
            <w:pPr>
              <w:spacing w:line="360" w:lineRule="auto"/>
              <w:rPr>
                <w:rFonts w:ascii="宋体" w:hAnsi="宋体" w:cs="宋体"/>
                <w:color w:val="auto"/>
                <w:szCs w:val="21"/>
                <w:highlight w:val="none"/>
              </w:rPr>
            </w:pPr>
            <w:r>
              <w:rPr>
                <w:rFonts w:hint="eastAsia" w:ascii="宋体" w:hAnsi="宋体" w:cs="宋体"/>
                <w:color w:val="auto"/>
                <w:szCs w:val="21"/>
                <w:highlight w:val="none"/>
              </w:rPr>
              <w:t>3、投标人需提供能反应出投标人获得奖项的相应证书扫描件，否则不计算得分。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002" w:hRule="atLeast"/>
        </w:trPr>
        <w:tc>
          <w:tcPr>
            <w:tcW w:w="727" w:type="dxa"/>
            <w:vMerge w:val="continue"/>
            <w:tcBorders>
              <w:right w:val="single" w:color="auto" w:sz="4" w:space="0"/>
            </w:tcBorders>
            <w:noWrap w:val="0"/>
            <w:vAlign w:val="center"/>
          </w:tcPr>
          <w:p>
            <w:pPr>
              <w:spacing w:line="360" w:lineRule="auto"/>
              <w:ind w:right="113" w:firstLine="420" w:firstLineChars="200"/>
              <w:rPr>
                <w:color w:val="auto"/>
                <w:highlight w:val="none"/>
              </w:rPr>
            </w:pPr>
          </w:p>
        </w:tc>
        <w:tc>
          <w:tcPr>
            <w:tcW w:w="1202" w:type="dxa"/>
            <w:gridSpan w:val="2"/>
            <w:vMerge w:val="continue"/>
            <w:tcBorders>
              <w:left w:val="single" w:color="auto" w:sz="4" w:space="0"/>
            </w:tcBorders>
            <w:noWrap w:val="0"/>
            <w:vAlign w:val="bottom"/>
          </w:tcPr>
          <w:p>
            <w:pPr>
              <w:pStyle w:val="9"/>
              <w:shd w:val="clear" w:color="auto" w:fill="auto"/>
              <w:spacing w:before="0" w:line="360" w:lineRule="auto"/>
              <w:jc w:val="left"/>
              <w:rPr>
                <w:rFonts w:ascii="宋体" w:hAnsi="宋体" w:cs="宋体"/>
                <w:color w:val="auto"/>
                <w:szCs w:val="21"/>
                <w:highlight w:val="none"/>
              </w:rPr>
            </w:pPr>
          </w:p>
        </w:tc>
        <w:tc>
          <w:tcPr>
            <w:tcW w:w="946" w:type="dxa"/>
            <w:tcBorders>
              <w:right w:val="single" w:color="auto" w:sz="4" w:space="0"/>
            </w:tcBorders>
            <w:noWrap w:val="0"/>
            <w:vAlign w:val="center"/>
          </w:tcPr>
          <w:p>
            <w:pPr>
              <w:spacing w:line="360" w:lineRule="auto"/>
              <w:jc w:val="center"/>
              <w:rPr>
                <w:rFonts w:ascii="宋体" w:hAnsi="宋体" w:cs="宋体"/>
                <w:color w:val="auto"/>
                <w:szCs w:val="21"/>
                <w:highlight w:val="none"/>
              </w:rPr>
            </w:pPr>
            <w:r>
              <w:rPr>
                <w:rFonts w:ascii="宋体" w:hAnsi="宋体"/>
                <w:color w:val="auto"/>
                <w:sz w:val="18"/>
                <w:szCs w:val="18"/>
                <w:highlight w:val="none"/>
              </w:rPr>
              <w:t>履约信誉</w:t>
            </w:r>
          </w:p>
        </w:tc>
        <w:tc>
          <w:tcPr>
            <w:tcW w:w="840" w:type="dxa"/>
            <w:tcBorders>
              <w:left w:val="single" w:color="auto" w:sz="4" w:space="0"/>
            </w:tcBorders>
            <w:noWrap w:val="0"/>
            <w:vAlign w:val="center"/>
          </w:tcPr>
          <w:p>
            <w:pPr>
              <w:spacing w:line="360" w:lineRule="auto"/>
              <w:jc w:val="center"/>
              <w:rPr>
                <w:rFonts w:ascii="宋体" w:hAnsi="宋体" w:cs="宋体"/>
                <w:color w:val="auto"/>
                <w:szCs w:val="21"/>
                <w:highlight w:val="none"/>
              </w:rPr>
            </w:pPr>
            <w:r>
              <w:rPr>
                <w:rFonts w:hint="eastAsia" w:ascii="宋体" w:hAnsi="宋体"/>
                <w:color w:val="auto"/>
                <w:sz w:val="18"/>
                <w:szCs w:val="18"/>
                <w:highlight w:val="none"/>
                <w:u w:val="single"/>
              </w:rPr>
              <w:t>15</w:t>
            </w:r>
            <w:r>
              <w:rPr>
                <w:rFonts w:ascii="宋体" w:hAnsi="宋体"/>
                <w:color w:val="auto"/>
                <w:sz w:val="18"/>
                <w:szCs w:val="18"/>
                <w:highlight w:val="none"/>
              </w:rPr>
              <w:t>分</w:t>
            </w:r>
          </w:p>
        </w:tc>
        <w:tc>
          <w:tcPr>
            <w:tcW w:w="5357" w:type="dxa"/>
            <w:noWrap w:val="0"/>
            <w:vAlign w:val="top"/>
          </w:tcPr>
          <w:p>
            <w:pPr>
              <w:spacing w:line="360" w:lineRule="auto"/>
              <w:rPr>
                <w:rFonts w:ascii="宋体" w:hAnsi="宋体"/>
                <w:color w:val="auto"/>
                <w:sz w:val="18"/>
                <w:szCs w:val="18"/>
                <w:highlight w:val="none"/>
              </w:rPr>
            </w:pPr>
            <w:r>
              <w:rPr>
                <w:rFonts w:hint="eastAsia" w:ascii="宋体" w:hAnsi="宋体"/>
                <w:color w:val="auto"/>
                <w:sz w:val="18"/>
                <w:szCs w:val="18"/>
                <w:highlight w:val="none"/>
              </w:rPr>
              <w:t>1. 信用等级分值（</w:t>
            </w:r>
            <w:r>
              <w:rPr>
                <w:rFonts w:ascii="宋体" w:hAnsi="宋体"/>
                <w:color w:val="auto"/>
                <w:sz w:val="18"/>
                <w:szCs w:val="18"/>
                <w:highlight w:val="none"/>
              </w:rPr>
              <w:t>10</w:t>
            </w:r>
            <w:r>
              <w:rPr>
                <w:rFonts w:hint="eastAsia" w:ascii="宋体" w:hAnsi="宋体"/>
                <w:color w:val="auto"/>
                <w:sz w:val="18"/>
                <w:szCs w:val="18"/>
                <w:highlight w:val="none"/>
              </w:rPr>
              <w:t>分）</w:t>
            </w:r>
          </w:p>
          <w:p>
            <w:pPr>
              <w:spacing w:line="360" w:lineRule="auto"/>
              <w:ind w:firstLine="450" w:firstLineChars="250"/>
              <w:rPr>
                <w:rFonts w:ascii="宋体" w:hAnsi="宋体"/>
                <w:color w:val="auto"/>
                <w:sz w:val="18"/>
                <w:szCs w:val="18"/>
                <w:highlight w:val="none"/>
              </w:rPr>
            </w:pPr>
            <w:r>
              <w:rPr>
                <w:rFonts w:hint="eastAsia" w:ascii="宋体" w:hAnsi="宋体"/>
                <w:color w:val="auto"/>
                <w:sz w:val="18"/>
                <w:szCs w:val="18"/>
                <w:highlight w:val="none"/>
              </w:rPr>
              <w:t>AA、A、B、C级单位的信用等级分得分分别为</w:t>
            </w:r>
            <w:r>
              <w:rPr>
                <w:rFonts w:ascii="宋体" w:hAnsi="宋体"/>
                <w:color w:val="auto"/>
                <w:sz w:val="18"/>
                <w:szCs w:val="18"/>
                <w:highlight w:val="none"/>
                <w:u w:val="single"/>
              </w:rPr>
              <w:t>10</w:t>
            </w:r>
            <w:r>
              <w:rPr>
                <w:rFonts w:hint="eastAsia" w:ascii="宋体" w:hAnsi="宋体"/>
                <w:color w:val="auto"/>
                <w:sz w:val="18"/>
                <w:szCs w:val="18"/>
                <w:highlight w:val="none"/>
                <w:u w:val="single"/>
              </w:rPr>
              <w:t>、</w:t>
            </w:r>
            <w:r>
              <w:rPr>
                <w:rFonts w:ascii="宋体" w:hAnsi="宋体"/>
                <w:color w:val="auto"/>
                <w:sz w:val="18"/>
                <w:szCs w:val="18"/>
                <w:highlight w:val="none"/>
                <w:u w:val="single"/>
              </w:rPr>
              <w:t>9</w:t>
            </w:r>
            <w:r>
              <w:rPr>
                <w:rFonts w:hint="eastAsia" w:ascii="宋体" w:hAnsi="宋体"/>
                <w:color w:val="auto"/>
                <w:sz w:val="18"/>
                <w:szCs w:val="18"/>
                <w:highlight w:val="none"/>
                <w:u w:val="single"/>
              </w:rPr>
              <w:t>.5、</w:t>
            </w:r>
            <w:r>
              <w:rPr>
                <w:rFonts w:ascii="宋体" w:hAnsi="宋体"/>
                <w:color w:val="auto"/>
                <w:sz w:val="18"/>
                <w:szCs w:val="18"/>
                <w:highlight w:val="none"/>
                <w:u w:val="single"/>
              </w:rPr>
              <w:t>8</w:t>
            </w:r>
            <w:r>
              <w:rPr>
                <w:rFonts w:hint="eastAsia" w:ascii="宋体" w:hAnsi="宋体"/>
                <w:color w:val="auto"/>
                <w:sz w:val="18"/>
                <w:szCs w:val="18"/>
                <w:highlight w:val="none"/>
                <w:u w:val="single"/>
              </w:rPr>
              <w:t>.</w:t>
            </w:r>
            <w:r>
              <w:rPr>
                <w:rFonts w:ascii="宋体" w:hAnsi="宋体"/>
                <w:color w:val="auto"/>
                <w:sz w:val="18"/>
                <w:szCs w:val="18"/>
                <w:highlight w:val="none"/>
                <w:u w:val="single"/>
              </w:rPr>
              <w:t>9</w:t>
            </w:r>
            <w:r>
              <w:rPr>
                <w:rFonts w:hint="eastAsia" w:ascii="宋体" w:hAnsi="宋体"/>
                <w:color w:val="auto"/>
                <w:sz w:val="18"/>
                <w:szCs w:val="18"/>
                <w:highlight w:val="none"/>
                <w:u w:val="single"/>
              </w:rPr>
              <w:t>、</w:t>
            </w:r>
            <w:r>
              <w:rPr>
                <w:rFonts w:ascii="宋体" w:hAnsi="宋体"/>
                <w:color w:val="auto"/>
                <w:sz w:val="18"/>
                <w:szCs w:val="18"/>
                <w:highlight w:val="none"/>
                <w:u w:val="single"/>
              </w:rPr>
              <w:t>7</w:t>
            </w:r>
            <w:r>
              <w:rPr>
                <w:rFonts w:hint="eastAsia" w:ascii="宋体" w:hAnsi="宋体"/>
                <w:color w:val="auto"/>
                <w:sz w:val="18"/>
                <w:szCs w:val="18"/>
                <w:highlight w:val="none"/>
                <w:u w:val="single"/>
              </w:rPr>
              <w:t>.</w:t>
            </w:r>
            <w:r>
              <w:rPr>
                <w:rFonts w:ascii="宋体" w:hAnsi="宋体"/>
                <w:color w:val="auto"/>
                <w:sz w:val="18"/>
                <w:szCs w:val="18"/>
                <w:highlight w:val="none"/>
                <w:u w:val="single"/>
              </w:rPr>
              <w:t>3</w:t>
            </w:r>
            <w:r>
              <w:rPr>
                <w:rFonts w:hint="eastAsia" w:ascii="宋体" w:hAnsi="宋体"/>
                <w:color w:val="auto"/>
                <w:sz w:val="18"/>
                <w:szCs w:val="18"/>
                <w:highlight w:val="none"/>
              </w:rPr>
              <w:t>分。</w:t>
            </w:r>
          </w:p>
          <w:p>
            <w:pPr>
              <w:spacing w:line="360" w:lineRule="auto"/>
              <w:rPr>
                <w:rFonts w:ascii="宋体" w:hAnsi="宋体"/>
                <w:color w:val="auto"/>
                <w:sz w:val="18"/>
                <w:szCs w:val="18"/>
                <w:highlight w:val="none"/>
              </w:rPr>
            </w:pPr>
            <w:r>
              <w:rPr>
                <w:rFonts w:hint="eastAsia" w:ascii="宋体" w:hAnsi="宋体"/>
                <w:color w:val="auto"/>
                <w:sz w:val="18"/>
                <w:szCs w:val="18"/>
                <w:highlight w:val="none"/>
              </w:rPr>
              <w:t>注：信用等级的确定原则应遵循投标人须知前附表10.2款的规定。</w:t>
            </w:r>
          </w:p>
          <w:p>
            <w:pPr>
              <w:pStyle w:val="4"/>
              <w:spacing w:line="360" w:lineRule="auto"/>
              <w:rPr>
                <w:rFonts w:hAnsi="宋体"/>
                <w:color w:val="auto"/>
                <w:sz w:val="18"/>
                <w:szCs w:val="18"/>
                <w:highlight w:val="none"/>
              </w:rPr>
            </w:pPr>
            <w:r>
              <w:rPr>
                <w:rFonts w:hint="eastAsia" w:hAnsi="宋体"/>
                <w:color w:val="auto"/>
                <w:sz w:val="18"/>
                <w:szCs w:val="18"/>
                <w:highlight w:val="none"/>
              </w:rPr>
              <w:t>2. 履约情况（</w:t>
            </w:r>
            <w:r>
              <w:rPr>
                <w:rFonts w:hint="eastAsia" w:hAnsi="宋体"/>
                <w:color w:val="auto"/>
                <w:sz w:val="18"/>
                <w:szCs w:val="18"/>
                <w:highlight w:val="none"/>
                <w:u w:val="single"/>
              </w:rPr>
              <w:t>5</w:t>
            </w:r>
            <w:r>
              <w:rPr>
                <w:rFonts w:hint="eastAsia" w:hAnsi="宋体"/>
                <w:color w:val="auto"/>
                <w:sz w:val="18"/>
                <w:szCs w:val="18"/>
                <w:highlight w:val="none"/>
              </w:rPr>
              <w:t>分）</w:t>
            </w:r>
          </w:p>
          <w:p>
            <w:pPr>
              <w:pStyle w:val="4"/>
              <w:spacing w:line="360" w:lineRule="auto"/>
              <w:ind w:firstLine="360" w:firstLineChars="200"/>
              <w:rPr>
                <w:rFonts w:hAnsi="宋体"/>
                <w:color w:val="auto"/>
                <w:sz w:val="18"/>
                <w:szCs w:val="18"/>
                <w:highlight w:val="none"/>
              </w:rPr>
            </w:pPr>
            <w:r>
              <w:rPr>
                <w:rFonts w:hint="eastAsia" w:hAnsi="宋体"/>
                <w:color w:val="auto"/>
                <w:sz w:val="18"/>
                <w:szCs w:val="18"/>
                <w:highlight w:val="none"/>
              </w:rPr>
              <w:t>若没出现下述情形得满分；</w:t>
            </w:r>
          </w:p>
          <w:p>
            <w:pPr>
              <w:pStyle w:val="4"/>
              <w:spacing w:line="360" w:lineRule="auto"/>
              <w:ind w:firstLine="363" w:firstLineChars="202"/>
              <w:rPr>
                <w:rFonts w:hint="eastAsia" w:hAnsi="宋体"/>
                <w:color w:val="auto"/>
                <w:sz w:val="18"/>
                <w:szCs w:val="18"/>
                <w:highlight w:val="none"/>
                <w:lang w:val="zh-CN"/>
              </w:rPr>
            </w:pPr>
            <w:r>
              <w:rPr>
                <w:rFonts w:hint="eastAsia" w:hAnsi="宋体"/>
                <w:color w:val="auto"/>
                <w:sz w:val="18"/>
                <w:szCs w:val="18"/>
                <w:highlight w:val="none"/>
                <w:lang w:val="zh-CN"/>
              </w:rPr>
              <w:t>自投标文件递交截止日前1年内，因公路工程（含附属设施）质量、安全、履约或招标投标问题等原因被</w:t>
            </w:r>
          </w:p>
          <w:p>
            <w:pPr>
              <w:pStyle w:val="4"/>
              <w:spacing w:line="360" w:lineRule="auto"/>
              <w:rPr>
                <w:rFonts w:hAnsi="宋体"/>
                <w:color w:val="auto"/>
                <w:sz w:val="18"/>
                <w:szCs w:val="18"/>
                <w:highlight w:val="none"/>
              </w:rPr>
            </w:pPr>
            <w:r>
              <w:rPr>
                <w:rFonts w:hint="eastAsia" w:hAnsi="宋体"/>
                <w:color w:val="auto"/>
                <w:sz w:val="18"/>
                <w:szCs w:val="18"/>
                <w:highlight w:val="none"/>
              </w:rPr>
              <w:t>（1）交通运输部通报批评的，扣</w:t>
            </w:r>
            <w:r>
              <w:rPr>
                <w:rFonts w:hint="eastAsia" w:hAnsi="宋体"/>
                <w:color w:val="auto"/>
                <w:sz w:val="18"/>
                <w:szCs w:val="18"/>
                <w:highlight w:val="none"/>
                <w:u w:val="single"/>
              </w:rPr>
              <w:t>5</w:t>
            </w:r>
            <w:r>
              <w:rPr>
                <w:rFonts w:hint="eastAsia" w:hAnsi="宋体"/>
                <w:color w:val="auto"/>
                <w:sz w:val="18"/>
                <w:szCs w:val="18"/>
                <w:highlight w:val="none"/>
              </w:rPr>
              <w:t>分/次；</w:t>
            </w:r>
          </w:p>
          <w:p>
            <w:pPr>
              <w:pStyle w:val="4"/>
              <w:spacing w:line="360" w:lineRule="auto"/>
              <w:ind w:firstLine="7" w:firstLineChars="4"/>
              <w:rPr>
                <w:rFonts w:hAnsi="宋体"/>
                <w:color w:val="auto"/>
                <w:sz w:val="18"/>
                <w:szCs w:val="18"/>
                <w:highlight w:val="none"/>
              </w:rPr>
            </w:pPr>
            <w:r>
              <w:rPr>
                <w:rFonts w:hint="eastAsia" w:hAnsi="宋体"/>
                <w:color w:val="auto"/>
                <w:sz w:val="18"/>
                <w:szCs w:val="18"/>
                <w:highlight w:val="none"/>
              </w:rPr>
              <w:t>（2）广东省交通运输厅通报批评的，扣</w:t>
            </w:r>
            <w:r>
              <w:rPr>
                <w:rFonts w:hint="eastAsia" w:hAnsi="宋体"/>
                <w:color w:val="auto"/>
                <w:sz w:val="18"/>
                <w:szCs w:val="18"/>
                <w:highlight w:val="none"/>
                <w:u w:val="single"/>
              </w:rPr>
              <w:t>4</w:t>
            </w:r>
            <w:r>
              <w:rPr>
                <w:rFonts w:hint="eastAsia" w:hAnsi="宋体"/>
                <w:color w:val="auto"/>
                <w:sz w:val="18"/>
                <w:szCs w:val="18"/>
                <w:highlight w:val="none"/>
              </w:rPr>
              <w:t>分/次；</w:t>
            </w:r>
          </w:p>
          <w:p>
            <w:pPr>
              <w:pStyle w:val="4"/>
              <w:spacing w:line="360" w:lineRule="auto"/>
              <w:ind w:firstLine="7" w:firstLineChars="4"/>
              <w:rPr>
                <w:rFonts w:hAnsi="宋体"/>
                <w:color w:val="auto"/>
                <w:sz w:val="18"/>
                <w:szCs w:val="18"/>
                <w:highlight w:val="none"/>
              </w:rPr>
            </w:pPr>
            <w:r>
              <w:rPr>
                <w:rFonts w:hint="eastAsia" w:hAnsi="宋体"/>
                <w:color w:val="auto"/>
                <w:sz w:val="18"/>
                <w:szCs w:val="18"/>
                <w:highlight w:val="none"/>
              </w:rPr>
              <w:t>（3</w:t>
            </w:r>
            <w:r>
              <w:rPr>
                <w:rFonts w:hAnsi="宋体"/>
                <w:color w:val="auto"/>
                <w:sz w:val="18"/>
                <w:szCs w:val="18"/>
                <w:highlight w:val="none"/>
              </w:rPr>
              <w:t>）</w:t>
            </w:r>
            <w:r>
              <w:rPr>
                <w:rFonts w:hint="eastAsia" w:hAnsi="宋体"/>
                <w:color w:val="auto"/>
                <w:sz w:val="18"/>
                <w:szCs w:val="18"/>
                <w:highlight w:val="none"/>
              </w:rPr>
              <w:t>项目所在地地市级交通局（委）、本项目招标人或招标人上级管理单位通报批评的，扣1分/次。</w:t>
            </w:r>
          </w:p>
          <w:p>
            <w:pPr>
              <w:pStyle w:val="4"/>
              <w:spacing w:line="360" w:lineRule="auto"/>
              <w:ind w:firstLine="7" w:firstLineChars="4"/>
              <w:rPr>
                <w:rFonts w:hAnsi="宋体" w:cs="宋体"/>
                <w:color w:val="auto"/>
                <w:szCs w:val="21"/>
                <w:highlight w:val="none"/>
              </w:rPr>
            </w:pPr>
            <w:r>
              <w:rPr>
                <w:rFonts w:hint="eastAsia" w:hAnsi="宋体"/>
                <w:color w:val="auto"/>
                <w:sz w:val="18"/>
                <w:szCs w:val="18"/>
                <w:highlight w:val="none"/>
              </w:rPr>
              <w:t>同一事项同时被多个部门通报批评或处罚只按最高的扣分计算1次。如果扣完本项分值，可以从总分中扣。</w:t>
            </w:r>
          </w:p>
        </w:tc>
      </w:tr>
    </w:tbl>
    <w:p>
      <w:pPr>
        <w:spacing w:line="360" w:lineRule="auto"/>
        <w:outlineLvl w:val="2"/>
        <w:rPr>
          <w:rFonts w:ascii="宋体" w:hAnsi="宋体" w:cs="宋体"/>
          <w:color w:val="auto"/>
          <w:sz w:val="28"/>
          <w:szCs w:val="28"/>
          <w:highlight w:val="none"/>
        </w:rPr>
      </w:pPr>
    </w:p>
    <w:p>
      <w:pPr>
        <w:rPr>
          <w:rFonts w:ascii="宋体" w:hAnsi="宋体" w:cs="宋体"/>
          <w:color w:val="auto"/>
          <w:sz w:val="28"/>
          <w:szCs w:val="28"/>
          <w:highlight w:val="none"/>
        </w:rPr>
      </w:pPr>
      <w:r>
        <w:rPr>
          <w:rFonts w:ascii="宋体" w:hAnsi="宋体" w:cs="宋体"/>
          <w:color w:val="auto"/>
          <w:sz w:val="28"/>
          <w:szCs w:val="28"/>
          <w:highlight w:val="none"/>
        </w:rPr>
        <w:br w:type="page"/>
      </w:r>
    </w:p>
    <w:p>
      <w:pPr>
        <w:pStyle w:val="2"/>
        <w:rPr>
          <w:color w:val="auto"/>
          <w:highlight w:val="none"/>
        </w:rPr>
      </w:pPr>
    </w:p>
    <w:tbl>
      <w:tblPr>
        <w:tblStyle w:val="6"/>
        <w:tblpPr w:leftFromText="180" w:rightFromText="180" w:vertAnchor="text" w:horzAnchor="page" w:tblpX="1517" w:tblpY="116"/>
        <w:tblOverlap w:val="never"/>
        <w:tblW w:w="9072"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045"/>
        <w:gridCol w:w="802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5" w:hRule="atLeast"/>
        </w:trPr>
        <w:tc>
          <w:tcPr>
            <w:tcW w:w="9072" w:type="dxa"/>
            <w:gridSpan w:val="2"/>
            <w:vAlign w:val="center"/>
          </w:tcPr>
          <w:p>
            <w:pPr>
              <w:spacing w:line="360" w:lineRule="auto"/>
              <w:ind w:right="113"/>
              <w:rPr>
                <w:rFonts w:ascii="宋体" w:hAnsi="宋体" w:cs="宋体"/>
                <w:color w:val="auto"/>
                <w:szCs w:val="21"/>
                <w:highlight w:val="none"/>
              </w:rPr>
            </w:pPr>
            <w:r>
              <w:rPr>
                <w:rFonts w:hint="eastAsia" w:ascii="宋体" w:hAnsi="宋体" w:cs="宋体"/>
                <w:color w:val="auto"/>
                <w:szCs w:val="21"/>
                <w:highlight w:val="none"/>
              </w:rPr>
              <w:t>需要补充的其他内容：</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497" w:hRule="atLeast"/>
        </w:trPr>
        <w:tc>
          <w:tcPr>
            <w:tcW w:w="1045" w:type="dxa"/>
            <w:tcBorders>
              <w:right w:val="single" w:color="auto" w:sz="4" w:space="0"/>
            </w:tcBorders>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1</w:t>
            </w:r>
          </w:p>
        </w:tc>
        <w:tc>
          <w:tcPr>
            <w:tcW w:w="8027" w:type="dxa"/>
            <w:tcBorders>
              <w:left w:val="single" w:color="auto" w:sz="4" w:space="0"/>
            </w:tcBorders>
            <w:vAlign w:val="center"/>
          </w:tcPr>
          <w:p>
            <w:pPr>
              <w:spacing w:line="360" w:lineRule="auto"/>
              <w:ind w:right="113"/>
              <w:rPr>
                <w:rFonts w:ascii="宋体" w:hAnsi="宋体" w:cs="宋体"/>
                <w:color w:val="auto"/>
                <w:szCs w:val="21"/>
                <w:highlight w:val="none"/>
              </w:rPr>
            </w:pPr>
            <w:r>
              <w:rPr>
                <w:rFonts w:hint="eastAsia" w:ascii="宋体" w:hAnsi="宋体" w:cs="宋体"/>
                <w:color w:val="auto"/>
                <w:szCs w:val="21"/>
                <w:highlight w:val="none"/>
              </w:rPr>
              <w:t>将评标办法原文第 1 条“评标方法”改为“评标方法、组织及工作程序”，原文内容修改如下：</w:t>
            </w:r>
          </w:p>
          <w:p>
            <w:pPr>
              <w:spacing w:line="360" w:lineRule="auto"/>
              <w:ind w:right="113"/>
              <w:rPr>
                <w:rFonts w:ascii="宋体" w:hAnsi="宋体" w:cs="宋体"/>
                <w:color w:val="auto"/>
                <w:szCs w:val="21"/>
                <w:highlight w:val="none"/>
              </w:rPr>
            </w:pPr>
            <w:r>
              <w:rPr>
                <w:rFonts w:hint="eastAsia" w:ascii="宋体" w:hAnsi="宋体" w:cs="宋体"/>
                <w:color w:val="auto"/>
                <w:szCs w:val="21"/>
                <w:highlight w:val="none"/>
              </w:rPr>
              <w:t>1.评标方法、组织及工作程序</w:t>
            </w:r>
          </w:p>
          <w:p>
            <w:pPr>
              <w:spacing w:line="360" w:lineRule="auto"/>
              <w:ind w:right="113"/>
              <w:rPr>
                <w:rFonts w:ascii="宋体" w:hAnsi="宋体" w:cs="宋体"/>
                <w:color w:val="auto"/>
                <w:szCs w:val="21"/>
                <w:highlight w:val="none"/>
              </w:rPr>
            </w:pPr>
            <w:r>
              <w:rPr>
                <w:rFonts w:hint="eastAsia" w:ascii="宋体" w:hAnsi="宋体" w:cs="宋体"/>
                <w:color w:val="auto"/>
                <w:szCs w:val="21"/>
                <w:highlight w:val="none"/>
              </w:rPr>
              <w:t>1.1 评标方法</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本次评标采用双信封的技术评分最低标价法。评标委员会对满足招标文件实质性要求的投标文件，按照本章第 2.2 款规定对通过初步评审的投标人的施工组织设计、主要人员、其他因素等进行评分，按照得分由高到低排序，对排名在招标文件规定数量</w:t>
            </w:r>
            <w:r>
              <w:rPr>
                <w:rFonts w:hint="eastAsia" w:ascii="宋体" w:hAnsi="宋体" w:cs="宋体"/>
                <w:color w:val="auto"/>
                <w:szCs w:val="21"/>
                <w:highlight w:val="none"/>
                <w:u w:val="single"/>
              </w:rPr>
              <w:t>前 5 名（不足 5 名时，按全部实际数量）</w:t>
            </w:r>
            <w:r>
              <w:rPr>
                <w:rFonts w:hint="eastAsia" w:ascii="宋体" w:hAnsi="宋体" w:cs="宋体"/>
                <w:color w:val="auto"/>
                <w:szCs w:val="21"/>
                <w:highlight w:val="none"/>
              </w:rPr>
              <w:t>的投标人的报价文件进行评审，按照评标价由低到高的顺序推荐中标候选人的评标方法。但投标报价低于其成本的除外。评标价相等时，评标委员会应按照评标办法前附表规定的优先次序推荐中标候选人或确定中标人。</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1.2 评标组织 </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1.2.1 协助工作组</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招标人可在评标工作开始前成立协助工作组，选派熟悉招标工作、政治素质高的人员组成，协助评标委员会工作。协助工作组人员的具体数量由招标人视评标工作量确定。</w:t>
            </w:r>
          </w:p>
          <w:p>
            <w:pPr>
              <w:spacing w:line="360" w:lineRule="auto"/>
              <w:ind w:left="420" w:leftChars="200" w:right="113"/>
              <w:rPr>
                <w:rFonts w:ascii="宋体" w:hAnsi="宋体" w:cs="宋体"/>
                <w:color w:val="auto"/>
                <w:szCs w:val="21"/>
                <w:highlight w:val="none"/>
              </w:rPr>
            </w:pPr>
            <w:r>
              <w:rPr>
                <w:rFonts w:hint="eastAsia" w:ascii="宋体" w:hAnsi="宋体" w:cs="宋体"/>
                <w:color w:val="auto"/>
                <w:szCs w:val="21"/>
                <w:highlight w:val="none"/>
              </w:rPr>
              <w:t>招标人可以协助评标委员会开展下列工作并提供相关信息：</w:t>
            </w:r>
            <w:r>
              <w:rPr>
                <w:rFonts w:hint="eastAsia" w:ascii="宋体" w:hAnsi="宋体" w:cs="宋体"/>
                <w:color w:val="auto"/>
                <w:szCs w:val="21"/>
                <w:highlight w:val="none"/>
              </w:rPr>
              <w:cr/>
            </w:r>
            <w:r>
              <w:rPr>
                <w:rFonts w:hint="eastAsia" w:ascii="宋体" w:hAnsi="宋体" w:cs="宋体"/>
                <w:color w:val="auto"/>
                <w:szCs w:val="21"/>
                <w:highlight w:val="none"/>
              </w:rPr>
              <w:t xml:space="preserve">（1）根据招标文件，编制评标使用的相应表格； </w:t>
            </w:r>
          </w:p>
          <w:p>
            <w:pPr>
              <w:numPr>
                <w:ilvl w:val="0"/>
                <w:numId w:val="2"/>
              </w:numPr>
              <w:spacing w:line="360" w:lineRule="auto"/>
              <w:ind w:left="416" w:leftChars="198" w:right="113"/>
              <w:rPr>
                <w:rFonts w:ascii="宋体" w:hAnsi="宋体" w:cs="宋体"/>
                <w:color w:val="auto"/>
                <w:szCs w:val="21"/>
                <w:highlight w:val="none"/>
              </w:rPr>
            </w:pPr>
            <w:r>
              <w:rPr>
                <w:rFonts w:hint="eastAsia" w:ascii="宋体" w:hAnsi="宋体" w:cs="宋体"/>
                <w:color w:val="auto"/>
                <w:szCs w:val="21"/>
                <w:highlight w:val="none"/>
              </w:rPr>
              <w:t>对投标报价进行算术性校核（如采用固化工程量清单，本步骤省略）；</w:t>
            </w:r>
            <w:r>
              <w:rPr>
                <w:rFonts w:hint="eastAsia" w:ascii="宋体" w:hAnsi="宋体" w:cs="宋体"/>
                <w:color w:val="auto"/>
                <w:szCs w:val="21"/>
                <w:highlight w:val="none"/>
              </w:rPr>
              <w:cr/>
            </w:r>
            <w:r>
              <w:rPr>
                <w:rFonts w:hint="eastAsia" w:ascii="宋体" w:hAnsi="宋体" w:cs="宋体"/>
                <w:color w:val="auto"/>
                <w:szCs w:val="21"/>
                <w:highlight w:val="none"/>
              </w:rPr>
              <w:t>（3）以评标标准和方法为依据，列出投标文件相对于招标文件的所有偏差，并进</w:t>
            </w:r>
          </w:p>
          <w:p>
            <w:pPr>
              <w:spacing w:line="360" w:lineRule="auto"/>
              <w:ind w:right="113"/>
              <w:rPr>
                <w:rFonts w:ascii="宋体" w:hAnsi="宋体" w:cs="宋体"/>
                <w:color w:val="auto"/>
                <w:szCs w:val="21"/>
                <w:highlight w:val="none"/>
              </w:rPr>
            </w:pPr>
            <w:r>
              <w:rPr>
                <w:rFonts w:hint="eastAsia" w:ascii="宋体" w:hAnsi="宋体" w:cs="宋体"/>
                <w:color w:val="auto"/>
                <w:szCs w:val="21"/>
                <w:highlight w:val="none"/>
              </w:rPr>
              <w:t>行归类汇总；</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（4）查询公路建设市场信用信息管理系统，对投标人的资质、业绩、主要人员资历和目前在岗情况、信用等级进行核实。</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招标人不得对投标文件作出任何评价，不得故意遗漏或者片面摘录，不得在评标委员会对所有偏差定性之前透露存有偏差的投标人名称。</w:t>
            </w:r>
            <w:r>
              <w:rPr>
                <w:rFonts w:hint="eastAsia" w:ascii="宋体" w:hAnsi="宋体" w:cs="宋体"/>
                <w:color w:val="auto"/>
                <w:szCs w:val="21"/>
                <w:highlight w:val="none"/>
              </w:rPr>
              <w:cr/>
            </w:r>
            <w:r>
              <w:rPr>
                <w:rFonts w:hint="eastAsia" w:ascii="宋体" w:hAnsi="宋体" w:cs="宋体"/>
                <w:color w:val="auto"/>
                <w:szCs w:val="21"/>
                <w:highlight w:val="none"/>
              </w:rPr>
              <w:t xml:space="preserve">    1.2.2 评标委员会</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评标委员会由招标人按国家、广东省等的有关规定依法组建。评标委员会的主要工作内容包括：</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（1）评标委员会开始评标工作之前，首先听取招标人、协助工作组关于工程情况和辅助工作的说明，并认真研读招标文件，获取评标所需的重要信息和数据；</w:t>
            </w:r>
          </w:p>
          <w:p>
            <w:pPr>
              <w:spacing w:line="360" w:lineRule="auto"/>
              <w:ind w:left="630" w:leftChars="200" w:right="113" w:hanging="210" w:hangingChars="100"/>
              <w:rPr>
                <w:rFonts w:ascii="宋体" w:hAnsi="宋体" w:cs="宋体"/>
                <w:color w:val="auto"/>
                <w:szCs w:val="21"/>
                <w:highlight w:val="none"/>
              </w:rPr>
            </w:pPr>
            <w:r>
              <w:rPr>
                <w:rFonts w:hint="eastAsia" w:ascii="宋体" w:hAnsi="宋体" w:cs="宋体"/>
                <w:color w:val="auto"/>
                <w:szCs w:val="21"/>
                <w:highlight w:val="none"/>
              </w:rPr>
              <w:t>（2）对协助工作组提供的评标工作用表和评标内容进行核查；</w:t>
            </w:r>
          </w:p>
          <w:p>
            <w:pPr>
              <w:spacing w:line="360" w:lineRule="auto"/>
              <w:ind w:left="630" w:leftChars="200" w:right="113" w:hanging="210" w:hangingChars="100"/>
              <w:rPr>
                <w:rFonts w:ascii="宋体" w:hAnsi="宋体" w:cs="宋体"/>
                <w:color w:val="auto"/>
                <w:szCs w:val="21"/>
                <w:highlight w:val="none"/>
              </w:rPr>
            </w:pPr>
            <w:r>
              <w:rPr>
                <w:rFonts w:hint="eastAsia" w:ascii="宋体" w:hAnsi="宋体" w:cs="宋体"/>
                <w:color w:val="auto"/>
                <w:szCs w:val="21"/>
                <w:highlight w:val="none"/>
              </w:rPr>
              <w:t>（3）按照以下 1.3 款程序进行各项评审工作。</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1.3 评审工作程序 </w:t>
            </w:r>
          </w:p>
          <w:p>
            <w:pPr>
              <w:numPr>
                <w:ilvl w:val="0"/>
                <w:numId w:val="3"/>
              </w:numPr>
              <w:spacing w:line="360" w:lineRule="auto"/>
              <w:ind w:left="420" w:leftChars="200" w:right="113"/>
              <w:rPr>
                <w:rFonts w:ascii="宋体" w:hAnsi="宋体" w:cs="宋体"/>
                <w:color w:val="auto"/>
                <w:szCs w:val="21"/>
                <w:highlight w:val="none"/>
              </w:rPr>
            </w:pPr>
            <w:r>
              <w:rPr>
                <w:rFonts w:hint="eastAsia" w:ascii="宋体" w:hAnsi="宋体" w:cs="宋体"/>
                <w:color w:val="auto"/>
                <w:szCs w:val="21"/>
                <w:highlight w:val="none"/>
              </w:rPr>
              <w:t>第一信封（商务及技术文件）：</w:t>
            </w:r>
          </w:p>
          <w:p>
            <w:pPr>
              <w:spacing w:line="360" w:lineRule="auto"/>
              <w:ind w:firstLine="420" w:firstLineChars="200"/>
              <w:rPr>
                <w:color w:val="auto"/>
                <w:highlight w:val="none"/>
              </w:rPr>
            </w:pPr>
            <w:r>
              <w:rPr>
                <w:rFonts w:hint="eastAsia"/>
                <w:color w:val="auto"/>
                <w:highlight w:val="none"/>
              </w:rPr>
              <w:t>1、初步评审：包括对投标文件进行形式评审与响应性评审、资格评审（适用于未进行资格预审）；</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2、详细评审（评审打分）：评标委员会首先对通过第一信封初步评审的投标文件进行详细评审，对投标人的施工组织设计、主要人员、其他因素等分别评审打分，并按照综合得分由高到低排序，排名在招标文件规定数量前 5 名（不少于 3 名但不足 5 名的，按全部实际数量）的投标人，其投标文件第一信封（商务及技术文件）通过详细评审。</w:t>
            </w:r>
            <w:r>
              <w:rPr>
                <w:rFonts w:hint="eastAsia" w:ascii="宋体" w:hAnsi="宋体" w:cs="宋体"/>
                <w:color w:val="auto"/>
                <w:szCs w:val="21"/>
                <w:highlight w:val="none"/>
              </w:rPr>
              <w:cr/>
            </w:r>
            <w:r>
              <w:rPr>
                <w:rFonts w:hint="eastAsia" w:ascii="宋体" w:hAnsi="宋体" w:cs="宋体"/>
                <w:color w:val="auto"/>
                <w:szCs w:val="21"/>
                <w:highlight w:val="none"/>
              </w:rPr>
              <w:t xml:space="preserve">    （二）第二信封（报价文件）：</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1、初步评审：</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（1）只有投标文件第一个信封通过详细评审的投标人才能继续参加第二信封报价文件的形式评审与响应性评审；</w:t>
            </w:r>
          </w:p>
          <w:p>
            <w:pPr>
              <w:spacing w:line="360" w:lineRule="auto"/>
              <w:ind w:left="420" w:leftChars="200" w:right="113"/>
              <w:rPr>
                <w:rFonts w:ascii="宋体" w:hAnsi="宋体" w:cs="宋体"/>
                <w:color w:val="auto"/>
                <w:szCs w:val="21"/>
                <w:highlight w:val="none"/>
              </w:rPr>
            </w:pPr>
            <w:r>
              <w:rPr>
                <w:rFonts w:hint="eastAsia" w:ascii="宋体" w:hAnsi="宋体" w:cs="宋体"/>
                <w:color w:val="auto"/>
                <w:szCs w:val="21"/>
                <w:highlight w:val="none"/>
              </w:rPr>
              <w:t>（2）报价算术性修正（如采用固化工程量清单，本步骤省略）；</w:t>
            </w:r>
            <w:r>
              <w:rPr>
                <w:rFonts w:hint="eastAsia" w:ascii="宋体" w:hAnsi="宋体" w:cs="宋体"/>
                <w:color w:val="auto"/>
                <w:szCs w:val="21"/>
                <w:highlight w:val="none"/>
              </w:rPr>
              <w:cr/>
            </w:r>
            <w:r>
              <w:rPr>
                <w:rFonts w:hint="eastAsia" w:ascii="宋体" w:hAnsi="宋体" w:cs="宋体"/>
                <w:color w:val="auto"/>
                <w:szCs w:val="21"/>
                <w:highlight w:val="none"/>
              </w:rPr>
              <w:t>2、详细评审：计算评标价；</w:t>
            </w:r>
            <w:r>
              <w:rPr>
                <w:rFonts w:hint="eastAsia" w:ascii="宋体" w:hAnsi="宋体" w:cs="宋体"/>
                <w:color w:val="auto"/>
                <w:szCs w:val="21"/>
                <w:highlight w:val="none"/>
              </w:rPr>
              <w:cr/>
            </w:r>
            <w:r>
              <w:rPr>
                <w:rFonts w:hint="eastAsia" w:ascii="宋体" w:hAnsi="宋体" w:cs="宋体"/>
                <w:color w:val="auto"/>
                <w:szCs w:val="21"/>
                <w:highlight w:val="none"/>
              </w:rPr>
              <w:t xml:space="preserve">（三）投标文件相关信息的核查。 </w:t>
            </w:r>
          </w:p>
          <w:p>
            <w:pPr>
              <w:spacing w:line="360" w:lineRule="auto"/>
              <w:ind w:left="420" w:leftChars="200" w:right="113"/>
              <w:rPr>
                <w:rFonts w:ascii="宋体" w:hAnsi="宋体" w:cs="宋体"/>
                <w:color w:val="auto"/>
                <w:szCs w:val="21"/>
                <w:highlight w:val="none"/>
              </w:rPr>
            </w:pPr>
            <w:r>
              <w:rPr>
                <w:rFonts w:hint="eastAsia" w:ascii="宋体" w:hAnsi="宋体" w:cs="宋体"/>
                <w:color w:val="auto"/>
                <w:szCs w:val="21"/>
                <w:highlight w:val="none"/>
              </w:rPr>
              <w:t>（四）投标文件的澄清和说明(如有)</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（五）按评标办法规定按照第二信封的评标价由低到高的顺序推荐中标候选人，编写评标报告。</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422" w:hRule="atLeast"/>
        </w:trPr>
        <w:tc>
          <w:tcPr>
            <w:tcW w:w="1045" w:type="dxa"/>
            <w:tcBorders>
              <w:right w:val="single" w:color="auto" w:sz="4" w:space="0"/>
            </w:tcBorders>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3.2.3</w:t>
            </w:r>
          </w:p>
        </w:tc>
        <w:tc>
          <w:tcPr>
            <w:tcW w:w="8027" w:type="dxa"/>
            <w:tcBorders>
              <w:left w:val="single" w:color="auto" w:sz="4" w:space="0"/>
            </w:tcBorders>
            <w:vAlign w:val="center"/>
          </w:tcPr>
          <w:p>
            <w:pPr>
              <w:spacing w:line="360" w:lineRule="auto"/>
              <w:ind w:right="113" w:firstLine="420" w:firstLineChars="200"/>
              <w:rPr>
                <w:rFonts w:ascii="宋体" w:hAnsi="宋体" w:cs="宋体"/>
                <w:color w:val="auto"/>
                <w:szCs w:val="21"/>
                <w:highlight w:val="none"/>
              </w:rPr>
            </w:pPr>
            <w:r>
              <w:rPr>
                <w:rFonts w:hint="eastAsia"/>
                <w:color w:val="auto"/>
                <w:highlight w:val="none"/>
              </w:rPr>
              <w:t>将评</w:t>
            </w:r>
            <w:r>
              <w:rPr>
                <w:rFonts w:hint="eastAsia" w:ascii="宋体" w:hAnsi="宋体" w:cs="宋体"/>
                <w:color w:val="auto"/>
                <w:szCs w:val="21"/>
                <w:highlight w:val="none"/>
              </w:rPr>
              <w:t>标办法范本原文第 3.2.3 项细化如下：</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投标人的商务和技术得分=A+B+C。</w:t>
            </w:r>
          </w:p>
          <w:p>
            <w:pPr>
              <w:spacing w:line="360" w:lineRule="auto"/>
              <w:ind w:right="113" w:firstLine="420" w:firstLineChars="200"/>
              <w:rPr>
                <w:color w:val="auto"/>
                <w:highlight w:val="none"/>
              </w:rPr>
            </w:pPr>
            <w:r>
              <w:rPr>
                <w:rFonts w:hint="eastAsia" w:ascii="宋体" w:hAnsi="宋体" w:cs="宋体"/>
                <w:color w:val="auto"/>
                <w:szCs w:val="21"/>
                <w:highlight w:val="none"/>
              </w:rPr>
              <w:t>除履约信誉、技术能力得分外，投标文件各评分因素细分项得分均不应低于其权重分的60%，评分低于权重分值60%的，评标委员会成员应当在评标报告中作出说明。计算投标人技术得分时：首先在评委技术评分中，同一评委对各投标人评分总分的差值最大的评委评分进行取舍（当一位或两位评委评分差值最大时均取消其评委评分，当多于两位评分差值均最大时，不取消任一评委评分），再对各评分因素细分项中取消一个最高、一个最低分后计算算术平均值的和为投标人的最终技术得分，平均值计算四舍五入保留小数点后三位。</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422" w:hRule="atLeast"/>
        </w:trPr>
        <w:tc>
          <w:tcPr>
            <w:tcW w:w="1045" w:type="dxa"/>
            <w:tcBorders>
              <w:right w:val="single" w:color="auto" w:sz="4" w:space="0"/>
            </w:tcBorders>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3.6</w:t>
            </w:r>
          </w:p>
        </w:tc>
        <w:tc>
          <w:tcPr>
            <w:tcW w:w="8027" w:type="dxa"/>
            <w:tcBorders>
              <w:left w:val="single" w:color="auto" w:sz="4" w:space="0"/>
            </w:tcBorders>
            <w:vAlign w:val="center"/>
          </w:tcPr>
          <w:p>
            <w:pPr>
              <w:spacing w:line="360" w:lineRule="auto"/>
              <w:ind w:right="113" w:firstLine="420" w:firstLineChars="200"/>
              <w:rPr>
                <w:rFonts w:ascii="宋体" w:hAnsi="宋体" w:cs="宋体"/>
                <w:color w:val="auto"/>
                <w:szCs w:val="21"/>
                <w:highlight w:val="none"/>
              </w:rPr>
            </w:pPr>
            <w:r>
              <w:rPr>
                <w:color w:val="auto"/>
                <w:highlight w:val="none"/>
              </w:rPr>
              <w:t>增</w:t>
            </w:r>
            <w:r>
              <w:rPr>
                <w:rFonts w:hint="eastAsia" w:ascii="宋体" w:hAnsi="宋体" w:cs="宋体"/>
                <w:color w:val="auto"/>
                <w:szCs w:val="21"/>
                <w:highlight w:val="none"/>
              </w:rPr>
              <w:t>加 3.6.3 项：</w:t>
            </w:r>
          </w:p>
          <w:p>
            <w:pPr>
              <w:spacing w:line="360" w:lineRule="auto"/>
              <w:ind w:right="113" w:firstLine="420" w:firstLineChars="200"/>
              <w:rPr>
                <w:color w:val="auto"/>
                <w:highlight w:val="none"/>
              </w:rPr>
            </w:pPr>
            <w:r>
              <w:rPr>
                <w:rFonts w:hint="eastAsia" w:ascii="宋体" w:hAnsi="宋体" w:cs="宋体"/>
                <w:color w:val="auto"/>
                <w:szCs w:val="21"/>
                <w:highlight w:val="none"/>
              </w:rPr>
              <w:t>3.6.3 依法必须进行招标的项目，除第一中标候选人或者中标人，其他投标人存在串通投标、弄虚作假、行贿情形且在评标过程中未被发现的，视为对中标结果没有造成实质性影响，招标人可以依法继续开展招标活动。投标人的违法行为由行政监督部门依法处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152" w:hRule="atLeast"/>
        </w:trPr>
        <w:tc>
          <w:tcPr>
            <w:tcW w:w="1045" w:type="dxa"/>
            <w:tcBorders>
              <w:right w:val="single" w:color="auto" w:sz="4" w:space="0"/>
            </w:tcBorders>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3.9</w:t>
            </w:r>
          </w:p>
        </w:tc>
        <w:tc>
          <w:tcPr>
            <w:tcW w:w="8027" w:type="dxa"/>
            <w:tcBorders>
              <w:left w:val="single" w:color="auto" w:sz="4" w:space="0"/>
            </w:tcBorders>
            <w:vAlign w:val="center"/>
          </w:tcPr>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增加3.9.3-3.9.6项：</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3.9.3 推荐中标候选人方式：按合同段最高投标限价高低顺序依次选定各合同段中标候选人，如果出现投标人在多个合同段都排名第一，将确定该投标人为最高投标限价较高的合同段的第一中标候选人，同时该投标人自动失去在本次招标中其他合同段的中标候选人资格，其他合同段的综合排名名次高者自动上升为中标候选人，如此类推。</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3.9.4 通过第一信封商务及技术文件评审的投标人少于 3 个的，评标委员会应否决全部投标。</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3.9.5 通过第一信封商务及技术文件评审的投标人在 3 个及以上的，招标人应当按照招标文件规定的程序进行第二信封报价文件开标；在对报价文件进行评审后，有效投标不足 3 个的，评标委员会可以否决全部投标。未否决全部投标的，评标委员会应当在评标报告中阐明理由并推荐中标候选人。</w:t>
            </w:r>
          </w:p>
          <w:p>
            <w:pPr>
              <w:spacing w:line="360" w:lineRule="auto"/>
              <w:ind w:right="113" w:firstLine="420" w:firstLineChars="200"/>
              <w:rPr>
                <w:rFonts w:ascii="宋体" w:hAnsi="宋体" w:eastAsia="Times New Roman" w:cs="宋体"/>
                <w:color w:val="auto"/>
                <w:highlight w:val="none"/>
              </w:rPr>
            </w:pPr>
            <w:r>
              <w:rPr>
                <w:rFonts w:hint="eastAsia" w:ascii="宋体" w:hAnsi="宋体" w:cs="宋体"/>
                <w:color w:val="auto"/>
                <w:szCs w:val="21"/>
                <w:highlight w:val="none"/>
              </w:rPr>
              <w:t>3.9.6 如果发生无法确定推荐中标候选人的其它意外情况，评标委员会可建议招标人重新招标。</w:t>
            </w:r>
          </w:p>
        </w:tc>
      </w:tr>
    </w:tbl>
    <w:p>
      <w:pPr>
        <w:spacing w:line="360" w:lineRule="auto"/>
        <w:outlineLvl w:val="2"/>
        <w:rPr>
          <w:rFonts w:ascii="宋体" w:hAnsi="宋体" w:cs="宋体"/>
          <w:color w:val="auto"/>
          <w:sz w:val="28"/>
          <w:szCs w:val="28"/>
          <w:highlight w:val="none"/>
        </w:rPr>
        <w:sectPr>
          <w:footnotePr>
            <w:numFmt w:val="decimalEnclosedCircleChinese"/>
            <w:numRestart w:val="eachPage"/>
          </w:footnotePr>
          <w:pgSz w:w="11907" w:h="16840"/>
          <w:pgMar w:top="1440" w:right="1361" w:bottom="1440" w:left="1361" w:header="850" w:footer="850" w:gutter="0"/>
          <w:pgNumType w:fmt="decimal"/>
          <w:cols w:space="720" w:num="1"/>
        </w:sectPr>
      </w:pPr>
    </w:p>
    <w:p>
      <w:pPr>
        <w:rPr>
          <w:rFonts w:hint="eastAsia" w:ascii="宋体" w:hAnsi="宋体" w:cs="宋体"/>
          <w:color w:val="auto"/>
          <w:highlight w:val="none"/>
        </w:rPr>
      </w:pPr>
    </w:p>
    <w:p>
      <w:pPr>
        <w:rPr>
          <w:rFonts w:ascii="宋体" w:hAnsi="宋体" w:cs="宋体"/>
          <w:color w:val="auto"/>
          <w:highlight w:val="none"/>
        </w:rPr>
      </w:pPr>
      <w:r>
        <w:rPr>
          <w:rFonts w:hint="eastAsia" w:ascii="宋体" w:hAnsi="宋体" w:cs="宋体"/>
          <w:color w:val="auto"/>
          <w:highlight w:val="none"/>
        </w:rPr>
        <w:t>附件3：投标申请人投标登记提交资料一览表</w:t>
      </w:r>
    </w:p>
    <w:tbl>
      <w:tblPr>
        <w:tblStyle w:val="6"/>
        <w:tblpPr w:leftFromText="180" w:rightFromText="180" w:vertAnchor="text" w:horzAnchor="page" w:tblpX="1089" w:tblpY="128"/>
        <w:tblOverlap w:val="never"/>
        <w:tblW w:w="94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6885"/>
        <w:gridCol w:w="16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atLeast"/>
          <w:tblHeader/>
        </w:trPr>
        <w:tc>
          <w:tcPr>
            <w:tcW w:w="993" w:type="dxa"/>
            <w:vMerge w:val="restart"/>
            <w:tcBorders>
              <w:top w:val="single" w:color="auto" w:sz="4" w:space="0"/>
              <w:left w:val="single" w:color="auto" w:sz="4" w:space="0"/>
              <w:bottom w:val="single" w:color="auto" w:sz="4" w:space="0"/>
              <w:right w:val="single" w:color="auto" w:sz="4" w:space="0"/>
            </w:tcBorders>
            <w:noWrap w:val="0"/>
            <w:vAlign w:val="center"/>
          </w:tcPr>
          <w:p>
            <w:pPr>
              <w:pStyle w:val="4"/>
              <w:overflowPunct w:val="0"/>
              <w:autoSpaceDE w:val="0"/>
              <w:autoSpaceDN w:val="0"/>
              <w:adjustRightInd w:val="0"/>
              <w:snapToGrid w:val="0"/>
              <w:spacing w:before="120"/>
              <w:ind w:firstLine="0" w:firstLineChars="0"/>
              <w:rPr>
                <w:rFonts w:hint="eastAsia" w:ascii="宋体" w:hAnsi="宋体" w:cs="宋体"/>
                <w:color w:val="auto"/>
                <w:szCs w:val="21"/>
                <w:highlight w:val="none"/>
              </w:rPr>
            </w:pPr>
            <w:r>
              <w:rPr>
                <w:rFonts w:hint="eastAsia" w:hAnsi="宋体" w:cs="宋体"/>
                <w:color w:val="auto"/>
                <w:spacing w:val="-5"/>
                <w:highlight w:val="none"/>
              </w:rPr>
              <w:t xml:space="preserve"> </w:t>
            </w:r>
            <w:r>
              <w:rPr>
                <w:rFonts w:hint="eastAsia" w:hAnsi="宋体" w:cs="宋体"/>
                <w:color w:val="auto"/>
                <w:spacing w:val="-5"/>
                <w:highlight w:val="none"/>
                <w:lang w:val="en-US" w:eastAsia="zh-CN"/>
              </w:rPr>
              <w:t xml:space="preserve">                   </w:t>
            </w:r>
            <w:r>
              <w:rPr>
                <w:rFonts w:hint="eastAsia" w:hAnsi="宋体"/>
                <w:color w:val="auto"/>
                <w:spacing w:val="-5"/>
                <w:kern w:val="0"/>
                <w:highlight w:val="none"/>
              </w:rPr>
              <w:t xml:space="preserve">    </w:t>
            </w:r>
            <w:bookmarkStart w:id="0" w:name="_Toc9890"/>
            <w:bookmarkStart w:id="1" w:name="_Toc6153"/>
            <w:bookmarkStart w:id="2" w:name="_Toc2305"/>
            <w:r>
              <w:rPr>
                <w:rFonts w:hint="eastAsia" w:ascii="宋体" w:hAnsi="宋体" w:cs="宋体"/>
                <w:color w:val="auto"/>
                <w:szCs w:val="21"/>
                <w:highlight w:val="none"/>
              </w:rPr>
              <w:t>序号</w:t>
            </w:r>
            <w:bookmarkEnd w:id="0"/>
            <w:bookmarkEnd w:id="1"/>
            <w:bookmarkEnd w:id="2"/>
          </w:p>
        </w:tc>
        <w:tc>
          <w:tcPr>
            <w:tcW w:w="6885" w:type="dxa"/>
            <w:vMerge w:val="restart"/>
            <w:tcBorders>
              <w:top w:val="single" w:color="auto" w:sz="4" w:space="0"/>
              <w:left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p>
          <w:p>
            <w:pPr>
              <w:autoSpaceDE w:val="0"/>
              <w:autoSpaceDN w:val="0"/>
              <w:adjustRightInd w:val="0"/>
              <w:spacing w:line="288" w:lineRule="auto"/>
              <w:jc w:val="center"/>
              <w:outlineLvl w:val="1"/>
              <w:rPr>
                <w:rFonts w:hint="eastAsia" w:ascii="宋体" w:hAnsi="宋体" w:cs="宋体"/>
                <w:color w:val="auto"/>
                <w:szCs w:val="21"/>
                <w:highlight w:val="none"/>
              </w:rPr>
            </w:pPr>
            <w:bookmarkStart w:id="3" w:name="_Toc13580"/>
            <w:bookmarkStart w:id="4" w:name="_Toc22455"/>
            <w:bookmarkStart w:id="5" w:name="_Toc19383"/>
            <w:r>
              <w:rPr>
                <w:rFonts w:hint="eastAsia" w:ascii="宋体" w:hAnsi="宋体" w:cs="宋体"/>
                <w:color w:val="auto"/>
                <w:szCs w:val="21"/>
                <w:highlight w:val="none"/>
              </w:rPr>
              <w:t>项目</w:t>
            </w:r>
            <w:bookmarkEnd w:id="3"/>
            <w:bookmarkEnd w:id="4"/>
            <w:bookmarkEnd w:id="5"/>
          </w:p>
          <w:p>
            <w:pPr>
              <w:autoSpaceDE w:val="0"/>
              <w:autoSpaceDN w:val="0"/>
              <w:adjustRightInd w:val="0"/>
              <w:spacing w:line="288" w:lineRule="auto"/>
              <w:jc w:val="center"/>
              <w:outlineLvl w:val="1"/>
              <w:rPr>
                <w:rFonts w:hint="eastAsia" w:ascii="宋体" w:hAnsi="宋体" w:cs="宋体"/>
                <w:color w:val="auto"/>
                <w:szCs w:val="21"/>
                <w:highlight w:val="none"/>
              </w:rPr>
            </w:pPr>
          </w:p>
        </w:tc>
        <w:tc>
          <w:tcPr>
            <w:tcW w:w="1603" w:type="dxa"/>
            <w:vMerge w:val="restar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bookmarkStart w:id="6" w:name="_Toc9139"/>
            <w:bookmarkStart w:id="7" w:name="_Toc25967"/>
            <w:bookmarkStart w:id="8" w:name="_Toc6233"/>
            <w:r>
              <w:rPr>
                <w:rFonts w:hint="eastAsia" w:ascii="宋体" w:hAnsi="宋体" w:cs="宋体"/>
                <w:color w:val="auto"/>
                <w:szCs w:val="21"/>
                <w:highlight w:val="none"/>
              </w:rPr>
              <w:t>备注</w:t>
            </w:r>
            <w:bookmarkEnd w:id="6"/>
            <w:bookmarkEnd w:id="7"/>
            <w:bookmarkEnd w:id="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tblHeader/>
        </w:trPr>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p>
        </w:tc>
        <w:tc>
          <w:tcPr>
            <w:tcW w:w="6885" w:type="dxa"/>
            <w:vMerge w:val="continue"/>
            <w:tcBorders>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p>
        </w:tc>
        <w:tc>
          <w:tcPr>
            <w:tcW w:w="1603" w:type="dxa"/>
            <w:vMerge w:val="continue"/>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9" w:hRule="atLeast"/>
          <w:tblHeader/>
        </w:trPr>
        <w:tc>
          <w:tcPr>
            <w:tcW w:w="9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bookmarkStart w:id="9" w:name="_Toc195"/>
            <w:bookmarkStart w:id="10" w:name="_Toc5685"/>
            <w:bookmarkStart w:id="11" w:name="_Toc15785"/>
            <w:r>
              <w:rPr>
                <w:rFonts w:hint="eastAsia" w:ascii="宋体" w:hAnsi="宋体" w:cs="宋体"/>
                <w:color w:val="auto"/>
                <w:szCs w:val="21"/>
                <w:highlight w:val="none"/>
              </w:rPr>
              <w:t>1</w:t>
            </w:r>
            <w:bookmarkEnd w:id="9"/>
            <w:bookmarkEnd w:id="10"/>
            <w:bookmarkEnd w:id="11"/>
          </w:p>
        </w:tc>
        <w:tc>
          <w:tcPr>
            <w:tcW w:w="68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bookmarkStart w:id="12" w:name="_Toc17821"/>
            <w:bookmarkStart w:id="13" w:name="_Toc31055"/>
            <w:bookmarkStart w:id="14" w:name="_Toc18414"/>
            <w:bookmarkStart w:id="15" w:name="_Toc19280"/>
            <w:bookmarkStart w:id="16" w:name="_Toc8775"/>
            <w:r>
              <w:rPr>
                <w:rFonts w:hint="eastAsia" w:ascii="宋体" w:hAnsi="宋体" w:cs="宋体"/>
                <w:color w:val="auto"/>
                <w:szCs w:val="21"/>
                <w:highlight w:val="none"/>
              </w:rPr>
              <w:t>广州建设工程投标登记申请表原件</w:t>
            </w:r>
          </w:p>
          <w:p>
            <w:pPr>
              <w:autoSpaceDE w:val="0"/>
              <w:autoSpaceDN w:val="0"/>
              <w:adjustRightInd w:val="0"/>
              <w:spacing w:line="288" w:lineRule="auto"/>
              <w:jc w:val="center"/>
              <w:outlineLvl w:val="1"/>
              <w:rPr>
                <w:rFonts w:hint="eastAsia" w:ascii="宋体" w:hAnsi="宋体" w:cs="宋体"/>
                <w:color w:val="auto"/>
                <w:szCs w:val="21"/>
                <w:highlight w:val="none"/>
              </w:rPr>
            </w:pPr>
            <w:r>
              <w:rPr>
                <w:rFonts w:hint="eastAsia" w:ascii="宋体" w:hAnsi="宋体" w:cs="宋体"/>
                <w:color w:val="auto"/>
                <w:szCs w:val="21"/>
                <w:highlight w:val="none"/>
              </w:rPr>
              <w:t>(按表格要求填写并加盖投标人公章,不用装订,</w:t>
            </w:r>
          </w:p>
          <w:p>
            <w:pPr>
              <w:autoSpaceDE w:val="0"/>
              <w:autoSpaceDN w:val="0"/>
              <w:adjustRightInd w:val="0"/>
              <w:spacing w:line="288" w:lineRule="auto"/>
              <w:jc w:val="center"/>
              <w:outlineLvl w:val="1"/>
              <w:rPr>
                <w:rFonts w:hint="eastAsia" w:ascii="宋体" w:hAnsi="宋体" w:cs="宋体"/>
                <w:color w:val="auto"/>
                <w:szCs w:val="21"/>
                <w:highlight w:val="none"/>
              </w:rPr>
            </w:pPr>
            <w:r>
              <w:rPr>
                <w:rFonts w:hint="eastAsia" w:ascii="宋体" w:hAnsi="宋体" w:cs="宋体"/>
                <w:color w:val="auto"/>
                <w:szCs w:val="21"/>
                <w:highlight w:val="none"/>
              </w:rPr>
              <w:t>广州公共资源交易网可下载）</w:t>
            </w:r>
            <w:bookmarkEnd w:id="12"/>
            <w:bookmarkEnd w:id="13"/>
            <w:bookmarkEnd w:id="14"/>
            <w:bookmarkEnd w:id="15"/>
            <w:bookmarkEnd w:id="16"/>
          </w:p>
        </w:tc>
        <w:tc>
          <w:tcPr>
            <w:tcW w:w="160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9" w:hRule="atLeast"/>
          <w:tblHeader/>
        </w:trPr>
        <w:tc>
          <w:tcPr>
            <w:tcW w:w="9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bookmarkStart w:id="17" w:name="_Toc8228"/>
            <w:bookmarkStart w:id="18" w:name="_Toc6919"/>
            <w:bookmarkStart w:id="19" w:name="_Toc6412"/>
            <w:r>
              <w:rPr>
                <w:rFonts w:hint="eastAsia" w:ascii="宋体" w:hAnsi="宋体" w:cs="宋体"/>
                <w:color w:val="auto"/>
                <w:szCs w:val="21"/>
                <w:highlight w:val="none"/>
              </w:rPr>
              <w:t>2</w:t>
            </w:r>
            <w:bookmarkEnd w:id="17"/>
            <w:bookmarkEnd w:id="18"/>
            <w:bookmarkEnd w:id="19"/>
          </w:p>
        </w:tc>
        <w:tc>
          <w:tcPr>
            <w:tcW w:w="68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bookmarkStart w:id="20" w:name="_Toc20949"/>
            <w:bookmarkStart w:id="21" w:name="_Toc30709"/>
            <w:bookmarkStart w:id="22" w:name="_Toc29449"/>
            <w:r>
              <w:rPr>
                <w:rFonts w:hint="eastAsia" w:ascii="宋体" w:hAnsi="宋体" w:cs="宋体"/>
                <w:color w:val="auto"/>
                <w:szCs w:val="21"/>
                <w:highlight w:val="none"/>
              </w:rPr>
              <w:t>企业法定代表人证明书原件、法定代表人身份证</w:t>
            </w:r>
            <w:bookmarkEnd w:id="20"/>
            <w:bookmarkEnd w:id="21"/>
            <w:bookmarkEnd w:id="22"/>
          </w:p>
        </w:tc>
        <w:tc>
          <w:tcPr>
            <w:tcW w:w="160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2" w:hRule="atLeast"/>
          <w:tblHeader/>
        </w:trPr>
        <w:tc>
          <w:tcPr>
            <w:tcW w:w="9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bookmarkStart w:id="23" w:name="_Toc19270"/>
            <w:bookmarkStart w:id="24" w:name="_Toc204"/>
            <w:bookmarkStart w:id="25" w:name="_Toc12293"/>
            <w:r>
              <w:rPr>
                <w:rFonts w:hint="eastAsia" w:ascii="宋体" w:hAnsi="宋体" w:cs="宋体"/>
                <w:color w:val="auto"/>
                <w:szCs w:val="21"/>
                <w:highlight w:val="none"/>
              </w:rPr>
              <w:t>3</w:t>
            </w:r>
            <w:bookmarkEnd w:id="23"/>
            <w:bookmarkEnd w:id="24"/>
            <w:bookmarkEnd w:id="25"/>
          </w:p>
        </w:tc>
        <w:tc>
          <w:tcPr>
            <w:tcW w:w="68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Cs w:val="21"/>
                <w:highlight w:val="none"/>
              </w:rPr>
              <w:t>若为委托代理人登记还需提供委托证明书原件、受托人身份证</w:t>
            </w:r>
          </w:p>
        </w:tc>
        <w:tc>
          <w:tcPr>
            <w:tcW w:w="160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eastAsia="宋体" w:cs="宋体"/>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9" w:hRule="atLeast"/>
          <w:tblHeader/>
        </w:trPr>
        <w:tc>
          <w:tcPr>
            <w:tcW w:w="9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bookmarkStart w:id="26" w:name="_Toc18045"/>
            <w:bookmarkStart w:id="27" w:name="_Toc841"/>
            <w:bookmarkStart w:id="28" w:name="_Toc8515"/>
            <w:r>
              <w:rPr>
                <w:rFonts w:hint="eastAsia" w:ascii="宋体" w:hAnsi="宋体" w:cs="宋体"/>
                <w:color w:val="auto"/>
                <w:szCs w:val="21"/>
                <w:highlight w:val="none"/>
              </w:rPr>
              <w:t>4</w:t>
            </w:r>
            <w:bookmarkEnd w:id="26"/>
            <w:bookmarkEnd w:id="27"/>
            <w:bookmarkEnd w:id="28"/>
          </w:p>
        </w:tc>
        <w:tc>
          <w:tcPr>
            <w:tcW w:w="68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eastAsia="宋体" w:cs="宋体"/>
                <w:color w:val="auto"/>
                <w:kern w:val="2"/>
                <w:sz w:val="21"/>
                <w:szCs w:val="21"/>
                <w:highlight w:val="none"/>
                <w:lang w:val="en-US" w:eastAsia="zh-CN" w:bidi="ar-SA"/>
              </w:rPr>
            </w:pPr>
            <w:bookmarkStart w:id="29" w:name="_Toc8884"/>
            <w:r>
              <w:rPr>
                <w:rFonts w:hint="eastAsia" w:hAnsi="宋体" w:cs="宋体"/>
                <w:color w:val="auto"/>
                <w:szCs w:val="21"/>
                <w:highlight w:val="none"/>
              </w:rPr>
              <w:t>营业执照、资质证书</w:t>
            </w:r>
            <w:r>
              <w:rPr>
                <w:rFonts w:hint="eastAsia" w:hAnsi="宋体" w:cs="宋体"/>
                <w:color w:val="auto"/>
                <w:szCs w:val="21"/>
                <w:highlight w:val="none"/>
                <w:lang w:eastAsia="zh-CN"/>
              </w:rPr>
              <w:t>、</w:t>
            </w:r>
            <w:r>
              <w:rPr>
                <w:rFonts w:hint="eastAsia" w:ascii="宋体" w:hAnsi="宋体" w:cs="宋体"/>
                <w:color w:val="auto"/>
                <w:kern w:val="0"/>
                <w:szCs w:val="21"/>
                <w:highlight w:val="none"/>
              </w:rPr>
              <w:t>安全生产许可证</w:t>
            </w:r>
            <w:r>
              <w:rPr>
                <w:rFonts w:hint="eastAsia" w:hAnsi="宋体" w:cs="宋体"/>
                <w:color w:val="auto"/>
                <w:szCs w:val="21"/>
                <w:highlight w:val="none"/>
              </w:rPr>
              <w:t>副本</w:t>
            </w:r>
            <w:bookmarkEnd w:id="29"/>
          </w:p>
        </w:tc>
        <w:tc>
          <w:tcPr>
            <w:tcW w:w="160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eastAsia="宋体" w:cs="宋体"/>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9" w:hRule="atLeast"/>
          <w:tblHeader/>
        </w:trPr>
        <w:tc>
          <w:tcPr>
            <w:tcW w:w="9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bookmarkStart w:id="30" w:name="_Toc14031"/>
            <w:bookmarkStart w:id="31" w:name="_Toc30097"/>
            <w:bookmarkStart w:id="32" w:name="_Toc17849"/>
            <w:r>
              <w:rPr>
                <w:rFonts w:hint="eastAsia" w:ascii="宋体" w:hAnsi="宋体" w:cs="宋体"/>
                <w:color w:val="auto"/>
                <w:szCs w:val="21"/>
                <w:highlight w:val="none"/>
              </w:rPr>
              <w:t>5</w:t>
            </w:r>
          </w:p>
        </w:tc>
        <w:tc>
          <w:tcPr>
            <w:tcW w:w="68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color w:val="auto"/>
                <w:szCs w:val="21"/>
                <w:highlight w:val="none"/>
              </w:rPr>
            </w:pPr>
            <w:r>
              <w:rPr>
                <w:rFonts w:hint="eastAsia" w:ascii="宋体" w:hAnsi="宋体" w:eastAsia="宋体" w:cs="宋体"/>
                <w:color w:val="auto"/>
                <w:sz w:val="21"/>
                <w:szCs w:val="21"/>
                <w:highlight w:val="none"/>
                <w:shd w:val="clear" w:color="auto" w:fill="auto"/>
                <w:lang w:val="en-US" w:eastAsia="zh-CN"/>
              </w:rPr>
              <w:t>附录5中各人员相关证书、身份证</w:t>
            </w:r>
            <w:r>
              <w:rPr>
                <w:rFonts w:hint="eastAsia" w:ascii="宋体" w:hAnsi="宋体" w:cs="宋体"/>
                <w:color w:val="auto"/>
                <w:sz w:val="21"/>
                <w:szCs w:val="21"/>
                <w:highlight w:val="none"/>
                <w:shd w:val="clear" w:color="auto" w:fill="auto"/>
                <w:lang w:val="en-US" w:eastAsia="zh-CN"/>
              </w:rPr>
              <w:t>、</w:t>
            </w:r>
            <w:r>
              <w:rPr>
                <w:rFonts w:hint="eastAsia" w:ascii="宋体" w:hAnsi="宋体" w:eastAsia="宋体" w:cs="宋体"/>
                <w:color w:val="auto"/>
                <w:sz w:val="21"/>
                <w:szCs w:val="21"/>
                <w:highlight w:val="none"/>
                <w:shd w:val="clear" w:color="auto" w:fill="auto"/>
                <w:lang w:val="en-US" w:eastAsia="zh-CN"/>
              </w:rPr>
              <w:t>社保证明复印件</w:t>
            </w:r>
            <w:r>
              <w:rPr>
                <w:rFonts w:hint="eastAsia" w:ascii="宋体" w:hAnsi="宋体" w:cs="宋体"/>
                <w:color w:val="auto"/>
                <w:sz w:val="21"/>
                <w:szCs w:val="21"/>
                <w:highlight w:val="none"/>
                <w:shd w:val="clear" w:color="auto" w:fill="auto"/>
                <w:lang w:val="en-US" w:eastAsia="zh-CN"/>
              </w:rPr>
              <w:t>及相关网页截图</w:t>
            </w:r>
          </w:p>
        </w:tc>
        <w:tc>
          <w:tcPr>
            <w:tcW w:w="160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eastAsia="宋体" w:cs="宋体"/>
                <w:color w:val="auto"/>
                <w:kern w:val="2"/>
                <w:sz w:val="21"/>
                <w:szCs w:val="21"/>
                <w:highlight w:val="none"/>
                <w:lang w:val="en-US" w:eastAsia="zh-CN" w:bidi="ar-SA"/>
              </w:rPr>
            </w:pPr>
          </w:p>
        </w:tc>
      </w:tr>
      <w:bookmarkEnd w:id="30"/>
      <w:bookmarkEnd w:id="31"/>
      <w:bookmarkEnd w:id="3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9" w:hRule="atLeast"/>
          <w:tblHeader/>
        </w:trPr>
        <w:tc>
          <w:tcPr>
            <w:tcW w:w="9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p>
        </w:tc>
        <w:tc>
          <w:tcPr>
            <w:tcW w:w="68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eastAsia="宋体" w:cs="宋体"/>
                <w:color w:val="auto"/>
                <w:kern w:val="2"/>
                <w:sz w:val="21"/>
                <w:szCs w:val="21"/>
                <w:highlight w:val="none"/>
                <w:lang w:val="en-US" w:eastAsia="zh-CN" w:bidi="ar-SA"/>
              </w:rPr>
            </w:pPr>
            <w:r>
              <w:rPr>
                <w:rFonts w:hint="eastAsia"/>
                <w:color w:val="auto"/>
                <w:szCs w:val="21"/>
                <w:highlight w:val="none"/>
              </w:rPr>
              <w:t>投标人《全国公路建设市场信用信息管理系统》网站中“</w:t>
            </w:r>
            <w:r>
              <w:rPr>
                <w:rFonts w:hint="eastAsia" w:ascii="宋体" w:hAnsi="宋体" w:cs="宋体"/>
                <w:color w:val="auto"/>
                <w:kern w:val="0"/>
                <w:szCs w:val="21"/>
                <w:highlight w:val="none"/>
              </w:rPr>
              <w:t>公路工程施工资质企业名录</w:t>
            </w:r>
            <w:r>
              <w:rPr>
                <w:rFonts w:hint="eastAsia"/>
                <w:color w:val="auto"/>
                <w:szCs w:val="21"/>
                <w:highlight w:val="none"/>
              </w:rPr>
              <w:t>”网页页面截图复印件</w:t>
            </w:r>
          </w:p>
        </w:tc>
        <w:tc>
          <w:tcPr>
            <w:tcW w:w="160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eastAsia="宋体" w:cs="宋体"/>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0" w:hRule="atLeast"/>
          <w:tblHeader/>
        </w:trPr>
        <w:tc>
          <w:tcPr>
            <w:tcW w:w="9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7</w:t>
            </w:r>
          </w:p>
        </w:tc>
        <w:tc>
          <w:tcPr>
            <w:tcW w:w="68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r>
              <w:rPr>
                <w:rFonts w:hint="eastAsia" w:ascii="宋体" w:hAnsi="宋体" w:eastAsia="宋体" w:cs="宋体"/>
                <w:color w:val="auto"/>
                <w:sz w:val="21"/>
                <w:szCs w:val="21"/>
                <w:highlight w:val="none"/>
                <w:shd w:val="clear" w:color="auto" w:fill="auto"/>
                <w:lang w:val="en-US" w:eastAsia="zh-CN"/>
              </w:rPr>
              <w:t>业绩证明材料（</w:t>
            </w:r>
            <w:r>
              <w:rPr>
                <w:rFonts w:hint="eastAsia" w:ascii="宋体" w:hAnsi="宋体" w:cs="宋体"/>
                <w:color w:val="auto"/>
                <w:szCs w:val="21"/>
                <w:highlight w:val="none"/>
              </w:rPr>
              <w:t>附在交通运输部“全国公路建设市场信用信息管理系统”中查询到的企业“业绩信息”相关项目网页截图复印件或网页打印件，即包括“项目名称”、“标段类型”、“合同价”、“主要工程量”等栏目在内的项目</w:t>
            </w:r>
            <w:r>
              <w:rPr>
                <w:rFonts w:hint="eastAsia" w:ascii="宋体" w:hAnsi="宋体" w:cs="宋体"/>
                <w:b w:val="0"/>
                <w:bCs w:val="0"/>
                <w:color w:val="auto"/>
                <w:szCs w:val="21"/>
                <w:highlight w:val="none"/>
              </w:rPr>
              <w:t>详</w:t>
            </w:r>
            <w:r>
              <w:rPr>
                <w:rFonts w:hint="eastAsia" w:ascii="宋体" w:hAnsi="宋体" w:cs="宋体"/>
                <w:b w:val="0"/>
                <w:bCs w:val="0"/>
                <w:color w:val="auto"/>
                <w:highlight w:val="none"/>
                <w:lang w:eastAsia="zh-CN"/>
              </w:rPr>
              <w:t>细信息网</w:t>
            </w:r>
            <w:r>
              <w:rPr>
                <w:rFonts w:hint="eastAsia" w:ascii="宋体" w:hAnsi="宋体" w:cs="宋体"/>
                <w:color w:val="auto"/>
                <w:szCs w:val="21"/>
                <w:highlight w:val="none"/>
              </w:rPr>
              <w:t>页截图复印件或网页打印件</w:t>
            </w:r>
            <w:r>
              <w:rPr>
                <w:rFonts w:hint="eastAsia" w:ascii="宋体" w:hAnsi="宋体" w:eastAsia="宋体" w:cs="宋体"/>
                <w:color w:val="auto"/>
                <w:sz w:val="21"/>
                <w:szCs w:val="21"/>
                <w:highlight w:val="none"/>
                <w:shd w:val="clear" w:color="auto" w:fill="auto"/>
                <w:lang w:val="en-US" w:eastAsia="zh-CN"/>
              </w:rPr>
              <w:t>）</w:t>
            </w:r>
          </w:p>
        </w:tc>
        <w:tc>
          <w:tcPr>
            <w:tcW w:w="160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tblHeader/>
        </w:trPr>
        <w:tc>
          <w:tcPr>
            <w:tcW w:w="9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8</w:t>
            </w:r>
          </w:p>
        </w:tc>
        <w:tc>
          <w:tcPr>
            <w:tcW w:w="68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r>
              <w:rPr>
                <w:rFonts w:ascii="宋体" w:hAnsi="宋体" w:eastAsia="Times New Roman" w:cs="宋体"/>
                <w:color w:val="auto"/>
                <w:szCs w:val="21"/>
                <w:highlight w:val="none"/>
              </w:rPr>
              <w:t>提供“全国公路建设市场信用信息管理系统”企业所填</w:t>
            </w:r>
            <w:r>
              <w:rPr>
                <w:rFonts w:hint="eastAsia" w:ascii="宋体" w:hAnsi="宋体" w:cs="宋体"/>
                <w:color w:val="auto"/>
                <w:highlight w:val="none"/>
              </w:rPr>
              <w:t>2019-2021</w:t>
            </w:r>
            <w:r>
              <w:rPr>
                <w:rFonts w:hint="eastAsia" w:ascii="宋体" w:hAnsi="宋体" w:cs="宋体"/>
                <w:color w:val="auto"/>
                <w:szCs w:val="21"/>
                <w:highlight w:val="none"/>
              </w:rPr>
              <w:t>年度</w:t>
            </w:r>
            <w:r>
              <w:rPr>
                <w:rFonts w:ascii="宋体" w:hAnsi="宋体" w:eastAsia="Times New Roman" w:cs="宋体"/>
                <w:color w:val="auto"/>
                <w:szCs w:val="21"/>
                <w:highlight w:val="none"/>
              </w:rPr>
              <w:t>的信息截图</w:t>
            </w:r>
          </w:p>
        </w:tc>
        <w:tc>
          <w:tcPr>
            <w:tcW w:w="160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9" w:hRule="atLeast"/>
          <w:tblHeader/>
        </w:trPr>
        <w:tc>
          <w:tcPr>
            <w:tcW w:w="9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default" w:ascii="宋体" w:hAnsi="宋体" w:eastAsia="宋体" w:cs="宋体"/>
                <w:color w:val="auto"/>
                <w:szCs w:val="21"/>
                <w:highlight w:val="none"/>
                <w:lang w:val="en-US" w:eastAsia="zh-CN"/>
              </w:rPr>
            </w:pPr>
            <w:bookmarkStart w:id="33" w:name="_Toc16783"/>
            <w:bookmarkStart w:id="34" w:name="_Toc6309"/>
            <w:bookmarkStart w:id="35" w:name="_Toc25336"/>
            <w:r>
              <w:rPr>
                <w:rFonts w:hint="eastAsia" w:ascii="宋体" w:hAnsi="宋体" w:cs="宋体"/>
                <w:color w:val="auto"/>
                <w:szCs w:val="21"/>
                <w:highlight w:val="none"/>
                <w:lang w:val="en-US" w:eastAsia="zh-CN"/>
              </w:rPr>
              <w:t>9</w:t>
            </w:r>
          </w:p>
        </w:tc>
        <w:tc>
          <w:tcPr>
            <w:tcW w:w="68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诚信投标承诺书（见附件</w:t>
            </w:r>
            <w:r>
              <w:rPr>
                <w:rFonts w:hint="eastAsia" w:ascii="宋体" w:hAnsi="宋体" w:cs="宋体"/>
                <w:color w:val="auto"/>
                <w:szCs w:val="21"/>
                <w:highlight w:val="none"/>
                <w:lang w:val="en-US" w:eastAsia="zh-CN"/>
              </w:rPr>
              <w:t>3-1</w:t>
            </w:r>
            <w:r>
              <w:rPr>
                <w:rFonts w:hint="eastAsia" w:ascii="宋体" w:hAnsi="宋体" w:cs="宋体"/>
                <w:color w:val="auto"/>
                <w:szCs w:val="21"/>
                <w:highlight w:val="none"/>
                <w:lang w:eastAsia="zh-CN"/>
              </w:rPr>
              <w:t>）</w:t>
            </w:r>
          </w:p>
        </w:tc>
        <w:tc>
          <w:tcPr>
            <w:tcW w:w="160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p>
        </w:tc>
      </w:tr>
    </w:tbl>
    <w:p>
      <w:pPr>
        <w:autoSpaceDE w:val="0"/>
        <w:autoSpaceDN w:val="0"/>
        <w:adjustRightInd w:val="0"/>
        <w:spacing w:line="360" w:lineRule="auto"/>
        <w:jc w:val="right"/>
        <w:outlineLvl w:val="1"/>
        <w:rPr>
          <w:rFonts w:hint="eastAsia" w:ascii="宋体" w:hAnsi="宋体" w:eastAsia="宋体" w:cs="宋体"/>
          <w:color w:val="auto"/>
          <w:sz w:val="21"/>
          <w:szCs w:val="21"/>
          <w:highlight w:val="none"/>
        </w:rPr>
      </w:pPr>
      <w:r>
        <w:rPr>
          <w:rFonts w:hint="eastAsia" w:hAnsi="宋体"/>
          <w:color w:val="auto"/>
          <w:spacing w:val="-5"/>
          <w:kern w:val="0"/>
          <w:highlight w:val="none"/>
        </w:rPr>
        <w:t xml:space="preserve"> </w:t>
      </w:r>
      <w:r>
        <w:rPr>
          <w:rFonts w:hint="eastAsia"/>
          <w:color w:val="auto"/>
          <w:highlight w:val="none"/>
        </w:rPr>
        <w:t>投标单位(盖章)</w:t>
      </w:r>
    </w:p>
    <w:p>
      <w:pPr>
        <w:pStyle w:val="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w:t>
      </w:r>
      <w:bookmarkEnd w:id="33"/>
      <w:bookmarkEnd w:id="34"/>
      <w:bookmarkEnd w:id="35"/>
      <w:r>
        <w:rPr>
          <w:rFonts w:hint="eastAsia" w:ascii="宋体" w:hAnsi="宋体" w:eastAsia="宋体" w:cs="宋体"/>
          <w:color w:val="auto"/>
          <w:sz w:val="21"/>
          <w:szCs w:val="21"/>
          <w:highlight w:val="none"/>
          <w:lang w:eastAsia="zh-CN"/>
        </w:rPr>
        <w:t>除</w:t>
      </w:r>
      <w:r>
        <w:rPr>
          <w:rFonts w:hint="eastAsia" w:ascii="宋体" w:hAnsi="宋体" w:eastAsia="宋体" w:cs="宋体"/>
          <w:color w:val="auto"/>
          <w:sz w:val="21"/>
          <w:szCs w:val="21"/>
          <w:highlight w:val="none"/>
        </w:rPr>
        <w:t>广州建设工程投标登记申请表一式二份单独提交</w:t>
      </w:r>
      <w:r>
        <w:rPr>
          <w:rFonts w:hint="eastAsia" w:ascii="宋体" w:hAnsi="宋体" w:eastAsia="宋体" w:cs="宋体"/>
          <w:color w:val="auto"/>
          <w:sz w:val="21"/>
          <w:szCs w:val="21"/>
          <w:highlight w:val="none"/>
          <w:lang w:eastAsia="zh-CN"/>
        </w:rPr>
        <w:t>外其余</w:t>
      </w:r>
      <w:r>
        <w:rPr>
          <w:rFonts w:hint="eastAsia" w:ascii="宋体" w:hAnsi="宋体" w:eastAsia="宋体" w:cs="宋体"/>
          <w:color w:val="auto"/>
          <w:sz w:val="21"/>
          <w:szCs w:val="21"/>
          <w:highlight w:val="none"/>
        </w:rPr>
        <w:t>资料一式</w:t>
      </w:r>
      <w:r>
        <w:rPr>
          <w:rFonts w:hint="eastAsia" w:ascii="宋体" w:hAnsi="宋体" w:eastAsia="宋体" w:cs="宋体"/>
          <w:color w:val="auto"/>
          <w:sz w:val="21"/>
          <w:szCs w:val="21"/>
          <w:highlight w:val="none"/>
          <w:lang w:eastAsia="zh-CN"/>
        </w:rPr>
        <w:t>一</w:t>
      </w:r>
      <w:r>
        <w:rPr>
          <w:rFonts w:hint="eastAsia" w:ascii="宋体" w:hAnsi="宋体" w:eastAsia="宋体" w:cs="宋体"/>
          <w:color w:val="auto"/>
          <w:sz w:val="21"/>
          <w:szCs w:val="21"/>
          <w:highlight w:val="none"/>
        </w:rPr>
        <w:t>份，按顺序装订成册</w:t>
      </w:r>
      <w:r>
        <w:rPr>
          <w:rFonts w:hint="eastAsia" w:ascii="宋体" w:hAnsi="宋体" w:eastAsia="宋体" w:cs="宋体"/>
          <w:color w:val="auto"/>
          <w:sz w:val="21"/>
          <w:szCs w:val="21"/>
          <w:highlight w:val="none"/>
          <w:lang w:eastAsia="zh-CN"/>
        </w:rPr>
        <w:t>（所要求提供的复印件为彩色复印件或扫描件）</w:t>
      </w:r>
      <w:r>
        <w:rPr>
          <w:rFonts w:hint="eastAsia" w:ascii="宋体" w:hAnsi="宋体" w:eastAsia="宋体" w:cs="宋体"/>
          <w:color w:val="auto"/>
          <w:sz w:val="21"/>
          <w:szCs w:val="21"/>
          <w:highlight w:val="none"/>
        </w:rPr>
        <w:t>，招标人可要求提供原件现场备查核实（对仅需提供有关资质证书文件、证照、证件复印件的、电子证书及可采用二维码识别核查的证书除外）；社保证明是指</w:t>
      </w:r>
      <w:r>
        <w:rPr>
          <w:rFonts w:hint="eastAsia" w:ascii="宋体" w:hAnsi="宋体" w:eastAsia="宋体" w:cs="宋体"/>
          <w:color w:val="auto"/>
          <w:sz w:val="21"/>
          <w:szCs w:val="21"/>
          <w:highlight w:val="none"/>
          <w:lang w:eastAsia="zh-CN"/>
        </w:rPr>
        <w:t>招标公告发布前</w:t>
      </w:r>
      <w:r>
        <w:rPr>
          <w:rFonts w:hint="eastAsia" w:ascii="宋体" w:hAnsi="宋体" w:eastAsia="宋体" w:cs="宋体"/>
          <w:color w:val="auto"/>
          <w:sz w:val="21"/>
          <w:szCs w:val="21"/>
          <w:highlight w:val="none"/>
          <w:lang w:val="en-US" w:eastAsia="zh-CN"/>
        </w:rPr>
        <w:t>近6个月任意连续3个月</w:t>
      </w:r>
      <w:r>
        <w:rPr>
          <w:rFonts w:hint="eastAsia" w:ascii="宋体" w:hAnsi="宋体" w:eastAsia="宋体" w:cs="宋体"/>
          <w:color w:val="auto"/>
          <w:sz w:val="21"/>
          <w:szCs w:val="21"/>
          <w:highlight w:val="none"/>
        </w:rPr>
        <w:t>有效的社保证明材料，上表资料不齐全或不符合要求者，不予接受。</w:t>
      </w:r>
    </w:p>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pPr>
        <w:autoSpaceDE w:val="0"/>
        <w:autoSpaceDN w:val="0"/>
        <w:adjustRightInd w:val="0"/>
        <w:spacing w:line="288" w:lineRule="auto"/>
        <w:jc w:val="left"/>
        <w:outlineLvl w:val="1"/>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附件3-1：</w:t>
      </w:r>
      <w:bookmarkStart w:id="36" w:name="_Toc9196"/>
      <w:r>
        <w:rPr>
          <w:rFonts w:hint="eastAsia" w:ascii="宋体" w:hAnsi="宋体" w:cs="宋体"/>
          <w:color w:val="auto"/>
          <w:szCs w:val="21"/>
          <w:highlight w:val="none"/>
          <w:lang w:eastAsia="zh-CN"/>
        </w:rPr>
        <w:t>诚信投标承诺书</w:t>
      </w:r>
      <w:bookmarkEnd w:id="36"/>
    </w:p>
    <w:p>
      <w:pPr>
        <w:spacing w:line="360" w:lineRule="auto"/>
        <w:outlineLvl w:val="1"/>
        <w:rPr>
          <w:rFonts w:hint="eastAsia" w:ascii="宋体" w:hAnsi="宋体" w:cs="宋体"/>
          <w:color w:val="auto"/>
          <w:szCs w:val="21"/>
          <w:highlight w:val="none"/>
        </w:rPr>
      </w:pPr>
    </w:p>
    <w:p>
      <w:pPr>
        <w:spacing w:line="360" w:lineRule="auto"/>
        <w:outlineLvl w:val="1"/>
        <w:rPr>
          <w:rFonts w:hint="eastAsia" w:ascii="宋体" w:hAnsi="宋体" w:cs="宋体"/>
          <w:color w:val="auto"/>
          <w:szCs w:val="21"/>
          <w:highlight w:val="none"/>
          <w:u w:val="single"/>
        </w:rPr>
      </w:pPr>
      <w:bookmarkStart w:id="37" w:name="_Toc20370"/>
      <w:bookmarkStart w:id="38" w:name="_Toc4993"/>
      <w:bookmarkStart w:id="39" w:name="_Toc25145"/>
      <w:r>
        <w:rPr>
          <w:rFonts w:hint="eastAsia" w:ascii="宋体" w:hAnsi="宋体" w:cs="宋体"/>
          <w:color w:val="auto"/>
          <w:szCs w:val="21"/>
          <w:highlight w:val="none"/>
        </w:rPr>
        <w:t>（招标人）：</w:t>
      </w:r>
      <w:bookmarkEnd w:id="37"/>
      <w:bookmarkEnd w:id="38"/>
      <w:bookmarkEnd w:id="39"/>
      <w:r>
        <w:rPr>
          <w:rFonts w:hint="eastAsia" w:ascii="宋体" w:hAnsi="宋体" w:cs="宋体"/>
          <w:color w:val="auto"/>
          <w:szCs w:val="21"/>
          <w:highlight w:val="none"/>
          <w:u w:val="single"/>
        </w:rPr>
        <w:t xml:space="preserve">                     </w:t>
      </w:r>
    </w:p>
    <w:p>
      <w:pPr>
        <w:spacing w:line="360" w:lineRule="auto"/>
        <w:ind w:firstLine="420" w:firstLineChars="200"/>
        <w:outlineLvl w:val="1"/>
        <w:rPr>
          <w:rFonts w:hint="eastAsia" w:ascii="宋体" w:hAnsi="宋体" w:cs="宋体"/>
          <w:color w:val="auto"/>
          <w:szCs w:val="21"/>
          <w:highlight w:val="none"/>
        </w:rPr>
      </w:pPr>
      <w:bookmarkStart w:id="40" w:name="_Toc3958"/>
      <w:bookmarkStart w:id="41" w:name="_Toc5389"/>
      <w:bookmarkStart w:id="42" w:name="_Toc7667"/>
      <w:r>
        <w:rPr>
          <w:rFonts w:hint="eastAsia" w:ascii="宋体" w:hAnsi="宋体" w:cs="宋体"/>
          <w:color w:val="auto"/>
          <w:szCs w:val="21"/>
          <w:highlight w:val="none"/>
        </w:rPr>
        <w:t>本人以法定代表人的身份代表本单位郑重承诺：</w:t>
      </w:r>
      <w:bookmarkEnd w:id="40"/>
      <w:bookmarkEnd w:id="41"/>
      <w:bookmarkEnd w:id="42"/>
    </w:p>
    <w:p>
      <w:pPr>
        <w:spacing w:line="360" w:lineRule="auto"/>
        <w:ind w:firstLine="420" w:firstLineChars="200"/>
        <w:outlineLvl w:val="1"/>
        <w:rPr>
          <w:rFonts w:hint="eastAsia" w:ascii="宋体" w:hAnsi="宋体" w:cs="宋体"/>
          <w:color w:val="auto"/>
          <w:szCs w:val="21"/>
          <w:highlight w:val="none"/>
        </w:rPr>
      </w:pPr>
      <w:bookmarkStart w:id="43" w:name="_Toc30557"/>
      <w:bookmarkStart w:id="44" w:name="_Toc25739"/>
      <w:bookmarkStart w:id="45" w:name="_Toc26380"/>
      <w:r>
        <w:rPr>
          <w:rFonts w:hint="eastAsia" w:ascii="宋体" w:hAnsi="宋体" w:cs="宋体"/>
          <w:color w:val="auto"/>
          <w:szCs w:val="21"/>
          <w:highlight w:val="none"/>
        </w:rPr>
        <w:t>一、本单位将遵循公开、公正和诚实信用的原则参加</w:t>
      </w:r>
      <w:r>
        <w:rPr>
          <w:rFonts w:hint="eastAsia" w:ascii="宋体" w:hAnsi="宋体" w:cs="宋体"/>
          <w:color w:val="auto"/>
          <w:szCs w:val="21"/>
          <w:highlight w:val="none"/>
          <w:u w:val="single"/>
        </w:rPr>
        <w:t xml:space="preserve">   （项目名称）</w:t>
      </w:r>
      <w:r>
        <w:rPr>
          <w:rFonts w:hint="eastAsia" w:ascii="宋体" w:hAnsi="宋体" w:cs="宋体"/>
          <w:color w:val="auto"/>
          <w:szCs w:val="21"/>
          <w:highlight w:val="none"/>
        </w:rPr>
        <w:t>的投标。</w:t>
      </w:r>
      <w:bookmarkEnd w:id="43"/>
      <w:bookmarkEnd w:id="44"/>
      <w:bookmarkEnd w:id="45"/>
    </w:p>
    <w:p>
      <w:pPr>
        <w:spacing w:line="360" w:lineRule="auto"/>
        <w:ind w:firstLine="420" w:firstLineChars="200"/>
        <w:outlineLvl w:val="1"/>
        <w:rPr>
          <w:rFonts w:hint="eastAsia" w:ascii="宋体" w:hAnsi="宋体" w:cs="宋体"/>
          <w:color w:val="auto"/>
          <w:szCs w:val="21"/>
          <w:highlight w:val="none"/>
        </w:rPr>
      </w:pPr>
      <w:bookmarkStart w:id="46" w:name="_Toc8120"/>
      <w:bookmarkStart w:id="47" w:name="_Toc4006"/>
      <w:bookmarkStart w:id="48" w:name="_Toc6009"/>
      <w:r>
        <w:rPr>
          <w:rFonts w:hint="eastAsia" w:ascii="宋体" w:hAnsi="宋体" w:cs="宋体"/>
          <w:color w:val="auto"/>
          <w:szCs w:val="21"/>
          <w:highlight w:val="none"/>
        </w:rPr>
        <w:t>二、本单位所提供的一切资料都是真实、有效、合法的，没有伪（变）造或虚假成分。</w:t>
      </w:r>
      <w:bookmarkEnd w:id="46"/>
      <w:bookmarkEnd w:id="47"/>
      <w:bookmarkEnd w:id="48"/>
    </w:p>
    <w:p>
      <w:pPr>
        <w:spacing w:line="360" w:lineRule="auto"/>
        <w:ind w:firstLine="420" w:firstLineChars="200"/>
        <w:outlineLvl w:val="1"/>
        <w:rPr>
          <w:rFonts w:hint="eastAsia" w:ascii="宋体" w:hAnsi="宋体" w:cs="宋体"/>
          <w:color w:val="auto"/>
          <w:szCs w:val="21"/>
          <w:highlight w:val="none"/>
        </w:rPr>
      </w:pPr>
      <w:bookmarkStart w:id="49" w:name="_Toc4754"/>
      <w:bookmarkStart w:id="50" w:name="_Toc22237"/>
      <w:bookmarkStart w:id="51" w:name="_Toc14771"/>
      <w:r>
        <w:rPr>
          <w:rFonts w:hint="eastAsia" w:ascii="宋体" w:hAnsi="宋体" w:cs="宋体"/>
          <w:color w:val="auto"/>
          <w:szCs w:val="21"/>
          <w:highlight w:val="none"/>
        </w:rPr>
        <w:t>三、本单位近三年（自招标公告发布之日上溯）没有发生围标串标、严重违约、重大工程质量问题、重大安全生产事故以及贿赂等违法违规行为。</w:t>
      </w:r>
      <w:bookmarkEnd w:id="49"/>
      <w:bookmarkEnd w:id="50"/>
      <w:bookmarkEnd w:id="51"/>
    </w:p>
    <w:p>
      <w:pPr>
        <w:spacing w:line="360" w:lineRule="auto"/>
        <w:ind w:firstLine="420" w:firstLineChars="200"/>
        <w:outlineLvl w:val="1"/>
        <w:rPr>
          <w:rFonts w:hint="eastAsia" w:ascii="宋体" w:hAnsi="宋体" w:cs="宋体"/>
          <w:color w:val="auto"/>
          <w:szCs w:val="21"/>
          <w:highlight w:val="none"/>
        </w:rPr>
      </w:pPr>
      <w:bookmarkStart w:id="52" w:name="_Toc28617"/>
      <w:bookmarkStart w:id="53" w:name="_Toc14930"/>
      <w:bookmarkStart w:id="54" w:name="_Toc1051"/>
      <w:r>
        <w:rPr>
          <w:rFonts w:hint="eastAsia" w:ascii="宋体" w:hAnsi="宋体" w:cs="宋体"/>
          <w:color w:val="auto"/>
          <w:szCs w:val="21"/>
          <w:highlight w:val="none"/>
        </w:rPr>
        <w:t>四、自觉维护招投标市场秩序，不以他人名义投标，不出借、转让、买卖、伪造企业或从业人员的资质证书、证照、业绩、获奖表彰等相关资信证明文件和印章，也不允许其他企业或个人以本单位名义投标。</w:t>
      </w:r>
      <w:bookmarkEnd w:id="52"/>
      <w:bookmarkEnd w:id="53"/>
      <w:bookmarkEnd w:id="54"/>
    </w:p>
    <w:p>
      <w:pPr>
        <w:spacing w:line="360" w:lineRule="auto"/>
        <w:ind w:firstLine="420" w:firstLineChars="200"/>
        <w:outlineLvl w:val="1"/>
        <w:rPr>
          <w:rFonts w:hint="eastAsia" w:ascii="宋体" w:hAnsi="宋体" w:cs="宋体"/>
          <w:color w:val="auto"/>
          <w:szCs w:val="21"/>
          <w:highlight w:val="none"/>
        </w:rPr>
      </w:pPr>
      <w:bookmarkStart w:id="55" w:name="_Toc7759"/>
      <w:bookmarkStart w:id="56" w:name="_Toc18914"/>
      <w:bookmarkStart w:id="57" w:name="_Toc32123"/>
      <w:r>
        <w:rPr>
          <w:rFonts w:hint="eastAsia" w:ascii="宋体" w:hAnsi="宋体" w:cs="宋体"/>
          <w:color w:val="auto"/>
          <w:szCs w:val="21"/>
          <w:highlight w:val="none"/>
        </w:rPr>
        <w:t>五、依法公平竞争，不采取虚假或恶意投诉等不正当手段损害、侵犯招标人或其他投标人的正当利益。</w:t>
      </w:r>
      <w:bookmarkEnd w:id="55"/>
      <w:bookmarkEnd w:id="56"/>
      <w:bookmarkEnd w:id="57"/>
    </w:p>
    <w:p>
      <w:pPr>
        <w:spacing w:line="360" w:lineRule="auto"/>
        <w:ind w:firstLine="420" w:firstLineChars="200"/>
        <w:outlineLvl w:val="1"/>
        <w:rPr>
          <w:rFonts w:hint="eastAsia" w:ascii="宋体" w:hAnsi="宋体" w:eastAsia="宋体" w:cs="宋体"/>
          <w:color w:val="auto"/>
          <w:szCs w:val="21"/>
          <w:highlight w:val="none"/>
          <w:lang w:eastAsia="zh-CN"/>
        </w:rPr>
      </w:pPr>
      <w:bookmarkStart w:id="58" w:name="_Toc27961"/>
      <w:bookmarkStart w:id="59" w:name="_Toc24820"/>
      <w:bookmarkStart w:id="60" w:name="_Toc32089"/>
      <w:r>
        <w:rPr>
          <w:rFonts w:hint="eastAsia" w:ascii="宋体" w:hAnsi="宋体" w:cs="宋体"/>
          <w:color w:val="auto"/>
          <w:szCs w:val="21"/>
          <w:highlight w:val="none"/>
        </w:rPr>
        <w:t>六、</w:t>
      </w:r>
      <w:r>
        <w:rPr>
          <w:rFonts w:hint="eastAsia" w:ascii="宋体" w:hAnsi="宋体" w:cs="宋体"/>
          <w:color w:val="auto"/>
          <w:szCs w:val="21"/>
          <w:highlight w:val="none"/>
          <w:lang w:eastAsia="zh-CN"/>
        </w:rPr>
        <w:t>根据《注册建造师管理规定》等相关规定我司承诺：</w:t>
      </w:r>
    </w:p>
    <w:p>
      <w:pPr>
        <w:spacing w:line="360" w:lineRule="auto"/>
        <w:ind w:firstLine="420" w:firstLineChars="200"/>
        <w:outlineLvl w:val="1"/>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1.</w:t>
      </w:r>
      <w:r>
        <w:rPr>
          <w:rFonts w:hint="eastAsia" w:ascii="宋体" w:hAnsi="宋体" w:cs="宋体"/>
          <w:color w:val="auto"/>
          <w:szCs w:val="21"/>
          <w:highlight w:val="none"/>
          <w:lang w:eastAsia="zh-CN"/>
        </w:rPr>
        <w:t>本项目拟派项目经理</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（姓名、证书编号）</w:t>
      </w:r>
      <w:r>
        <w:rPr>
          <w:rFonts w:hint="eastAsia" w:ascii="宋体" w:hAnsi="宋体" w:cs="宋体"/>
          <w:color w:val="auto"/>
          <w:szCs w:val="21"/>
          <w:highlight w:val="none"/>
          <w:lang w:eastAsia="zh-CN"/>
        </w:rPr>
        <w:t>和</w:t>
      </w:r>
      <w:r>
        <w:rPr>
          <w:rFonts w:hint="eastAsia" w:ascii="宋体" w:hAnsi="宋体" w:cs="宋体"/>
          <w:color w:val="auto"/>
          <w:kern w:val="0"/>
          <w:szCs w:val="21"/>
          <w:highlight w:val="none"/>
        </w:rPr>
        <w:t>项目经理</w:t>
      </w:r>
      <w:r>
        <w:rPr>
          <w:rFonts w:hint="eastAsia" w:ascii="宋体" w:hAnsi="宋体" w:cs="宋体"/>
          <w:color w:val="auto"/>
          <w:kern w:val="0"/>
          <w:szCs w:val="21"/>
          <w:highlight w:val="none"/>
          <w:lang w:eastAsia="zh-CN"/>
        </w:rPr>
        <w:t>备选人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姓名、证书编号）没有在其他在建工程中担任项目负责人，如在相关网站载明建造师曾有在建工程信息的，我司在招投标过程（包括投标登记阶段）中按招标人或招标代理机构要求提供该项目的相关竣工验收资料原件(若项目经理在合同履约期间变更的，则同时提供相关变更手续及报相关部门进行网上变更证明)。</w:t>
      </w:r>
      <w:bookmarkEnd w:id="58"/>
      <w:bookmarkEnd w:id="59"/>
      <w:bookmarkEnd w:id="60"/>
      <w:r>
        <w:rPr>
          <w:rFonts w:hint="eastAsia" w:ascii="宋体" w:hAnsi="宋体" w:cs="宋体"/>
          <w:color w:val="auto"/>
          <w:szCs w:val="21"/>
          <w:highlight w:val="none"/>
          <w:lang w:val="en-US" w:eastAsia="zh-CN"/>
        </w:rPr>
        <w:t xml:space="preserve">    </w:t>
      </w:r>
    </w:p>
    <w:p>
      <w:pPr>
        <w:spacing w:line="360" w:lineRule="auto"/>
        <w:ind w:firstLine="420" w:firstLineChars="200"/>
        <w:outlineLvl w:val="1"/>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lang w:eastAsia="zh-CN"/>
        </w:rPr>
        <w:t>本项目拟派项目经理及</w:t>
      </w:r>
      <w:r>
        <w:rPr>
          <w:rFonts w:hint="eastAsia" w:ascii="宋体" w:hAnsi="宋体" w:cs="宋体"/>
          <w:color w:val="auto"/>
          <w:kern w:val="0"/>
          <w:szCs w:val="21"/>
          <w:highlight w:val="none"/>
        </w:rPr>
        <w:t>项目经理</w:t>
      </w:r>
      <w:r>
        <w:rPr>
          <w:rFonts w:hint="eastAsia" w:ascii="宋体" w:hAnsi="宋体" w:cs="宋体"/>
          <w:color w:val="auto"/>
          <w:kern w:val="0"/>
          <w:szCs w:val="21"/>
          <w:highlight w:val="none"/>
          <w:lang w:eastAsia="zh-CN"/>
        </w:rPr>
        <w:t>备选人</w:t>
      </w:r>
      <w:r>
        <w:rPr>
          <w:rFonts w:hint="eastAsia" w:ascii="宋体" w:hAnsi="宋体" w:cs="宋体"/>
          <w:color w:val="auto"/>
          <w:szCs w:val="21"/>
          <w:highlight w:val="none"/>
          <w:lang w:eastAsia="zh-CN"/>
        </w:rPr>
        <w:t>未在其他项目</w:t>
      </w:r>
      <w:r>
        <w:rPr>
          <w:rFonts w:hint="eastAsia" w:ascii="宋体" w:hAnsi="宋体" w:cs="宋体"/>
          <w:color w:val="auto"/>
          <w:szCs w:val="21"/>
          <w:highlight w:val="none"/>
        </w:rPr>
        <w:t>招投标过程</w:t>
      </w:r>
      <w:r>
        <w:rPr>
          <w:rFonts w:hint="eastAsia" w:ascii="宋体" w:hAnsi="宋体" w:cs="宋体"/>
          <w:color w:val="auto"/>
          <w:szCs w:val="21"/>
          <w:highlight w:val="none"/>
          <w:lang w:eastAsia="zh-CN"/>
        </w:rPr>
        <w:t>中作为拟派项目经理及</w:t>
      </w:r>
      <w:r>
        <w:rPr>
          <w:rFonts w:hint="eastAsia" w:ascii="宋体" w:hAnsi="宋体" w:cs="宋体"/>
          <w:color w:val="auto"/>
          <w:kern w:val="0"/>
          <w:szCs w:val="21"/>
          <w:highlight w:val="none"/>
        </w:rPr>
        <w:t>项目经理</w:t>
      </w:r>
      <w:r>
        <w:rPr>
          <w:rFonts w:hint="eastAsia" w:ascii="宋体" w:hAnsi="宋体" w:cs="宋体"/>
          <w:color w:val="auto"/>
          <w:kern w:val="0"/>
          <w:szCs w:val="21"/>
          <w:highlight w:val="none"/>
          <w:lang w:eastAsia="zh-CN"/>
        </w:rPr>
        <w:t>备选人</w:t>
      </w:r>
      <w:r>
        <w:rPr>
          <w:rFonts w:hint="eastAsia" w:ascii="宋体" w:hAnsi="宋体" w:cs="宋体"/>
          <w:color w:val="auto"/>
          <w:szCs w:val="21"/>
          <w:highlight w:val="none"/>
          <w:lang w:eastAsia="zh-CN"/>
        </w:rPr>
        <w:t>。</w:t>
      </w:r>
    </w:p>
    <w:p>
      <w:pPr>
        <w:spacing w:line="360" w:lineRule="auto"/>
        <w:ind w:firstLine="420" w:firstLineChars="200"/>
        <w:outlineLvl w:val="1"/>
        <w:rPr>
          <w:rFonts w:hint="eastAsia" w:ascii="宋体" w:hAnsi="宋体" w:cs="宋体"/>
          <w:color w:val="auto"/>
          <w:szCs w:val="21"/>
          <w:highlight w:val="none"/>
        </w:rPr>
      </w:pPr>
      <w:bookmarkStart w:id="61" w:name="_Toc23325"/>
      <w:bookmarkStart w:id="62" w:name="_Toc14910"/>
      <w:bookmarkStart w:id="63" w:name="_Toc23802"/>
      <w:r>
        <w:rPr>
          <w:rFonts w:hint="eastAsia" w:ascii="宋体" w:hAnsi="宋体" w:cs="宋体"/>
          <w:color w:val="auto"/>
          <w:szCs w:val="21"/>
          <w:highlight w:val="none"/>
        </w:rPr>
        <w:t>本单位如违反上述承诺内容，</w:t>
      </w:r>
      <w:r>
        <w:rPr>
          <w:rFonts w:hint="eastAsia" w:ascii="宋体" w:hAnsi="宋体" w:cs="宋体"/>
          <w:color w:val="auto"/>
          <w:szCs w:val="21"/>
          <w:highlight w:val="none"/>
          <w:lang w:eastAsia="zh-CN"/>
        </w:rPr>
        <w:t>招标人有权取消我司的投标人资格，并</w:t>
      </w:r>
      <w:r>
        <w:rPr>
          <w:rFonts w:hint="eastAsia" w:ascii="宋体" w:hAnsi="宋体" w:cs="宋体"/>
          <w:color w:val="auto"/>
          <w:szCs w:val="21"/>
          <w:highlight w:val="none"/>
        </w:rPr>
        <w:t>愿意按约定接受行政监管部门的处理。</w:t>
      </w:r>
      <w:bookmarkEnd w:id="61"/>
      <w:bookmarkEnd w:id="62"/>
      <w:bookmarkEnd w:id="63"/>
    </w:p>
    <w:p>
      <w:pPr>
        <w:spacing w:line="360" w:lineRule="auto"/>
        <w:ind w:firstLine="420" w:firstLineChars="200"/>
        <w:rPr>
          <w:rFonts w:hint="eastAsia" w:ascii="宋体" w:hAnsi="宋体" w:cs="宋体"/>
          <w:color w:val="auto"/>
          <w:szCs w:val="21"/>
          <w:highlight w:val="none"/>
        </w:rPr>
      </w:pPr>
    </w:p>
    <w:p>
      <w:pPr>
        <w:spacing w:line="360" w:lineRule="auto"/>
        <w:ind w:firstLine="5460" w:firstLineChars="2600"/>
        <w:outlineLvl w:val="1"/>
        <w:rPr>
          <w:rFonts w:hint="eastAsia" w:ascii="宋体" w:hAnsi="宋体" w:cs="宋体"/>
          <w:color w:val="auto"/>
          <w:szCs w:val="21"/>
          <w:highlight w:val="none"/>
        </w:rPr>
      </w:pPr>
    </w:p>
    <w:p>
      <w:pPr>
        <w:spacing w:line="360" w:lineRule="auto"/>
        <w:ind w:firstLine="420" w:firstLineChars="200"/>
        <w:outlineLvl w:val="1"/>
        <w:rPr>
          <w:rFonts w:hint="eastAsia" w:ascii="宋体" w:hAnsi="宋体" w:eastAsia="宋体" w:cs="宋体"/>
          <w:color w:val="auto"/>
          <w:szCs w:val="21"/>
          <w:highlight w:val="none"/>
          <w:lang w:eastAsia="zh-CN"/>
        </w:rPr>
      </w:pPr>
      <w:bookmarkStart w:id="64" w:name="_Toc30409"/>
      <w:bookmarkStart w:id="65" w:name="_Toc2627"/>
      <w:bookmarkStart w:id="66" w:name="_Toc15511"/>
      <w:r>
        <w:rPr>
          <w:rFonts w:hint="eastAsia" w:ascii="宋体" w:hAnsi="宋体" w:cs="宋体"/>
          <w:color w:val="auto"/>
          <w:szCs w:val="21"/>
          <w:highlight w:val="none"/>
        </w:rPr>
        <w:t>投标申请人名称：（盖章）</w:t>
      </w:r>
      <w:bookmarkEnd w:id="64"/>
      <w:bookmarkEnd w:id="65"/>
      <w:r>
        <w:rPr>
          <w:rFonts w:hint="eastAsia" w:ascii="宋体" w:hAnsi="宋体" w:cs="宋体"/>
          <w:color w:val="auto"/>
          <w:szCs w:val="21"/>
          <w:highlight w:val="none"/>
        </w:rPr>
        <w:t xml:space="preserve">                              </w:t>
      </w:r>
      <w:bookmarkEnd w:id="66"/>
      <w:r>
        <w:rPr>
          <w:rFonts w:hint="eastAsia" w:ascii="宋体" w:hAnsi="宋体" w:cs="宋体"/>
          <w:color w:val="auto"/>
          <w:szCs w:val="21"/>
          <w:highlight w:val="none"/>
          <w:lang w:val="en-US" w:eastAsia="zh-CN"/>
        </w:rPr>
        <w:t xml:space="preserve"> </w:t>
      </w:r>
    </w:p>
    <w:p>
      <w:pPr>
        <w:spacing w:line="360" w:lineRule="auto"/>
        <w:ind w:firstLine="420" w:firstLineChars="200"/>
        <w:outlineLvl w:val="1"/>
        <w:rPr>
          <w:rFonts w:hint="eastAsia" w:ascii="宋体" w:hAnsi="宋体" w:cs="宋体"/>
          <w:color w:val="auto"/>
          <w:szCs w:val="21"/>
          <w:highlight w:val="none"/>
        </w:rPr>
      </w:pPr>
    </w:p>
    <w:p>
      <w:pPr>
        <w:spacing w:line="360" w:lineRule="auto"/>
        <w:ind w:firstLine="420" w:firstLineChars="200"/>
        <w:outlineLvl w:val="1"/>
        <w:rPr>
          <w:rFonts w:hint="eastAsia" w:ascii="宋体" w:hAnsi="宋体" w:cs="宋体"/>
          <w:color w:val="auto"/>
          <w:szCs w:val="21"/>
          <w:highlight w:val="none"/>
        </w:rPr>
      </w:pPr>
      <w:bookmarkStart w:id="67" w:name="_Toc12091"/>
      <w:bookmarkStart w:id="68" w:name="_Toc8296"/>
      <w:bookmarkStart w:id="69" w:name="_Toc12917"/>
      <w:r>
        <w:rPr>
          <w:rFonts w:hint="eastAsia" w:ascii="宋体" w:hAnsi="宋体" w:cs="宋体"/>
          <w:color w:val="auto"/>
          <w:szCs w:val="21"/>
          <w:highlight w:val="none"/>
        </w:rPr>
        <w:t>法定代表人（签字）：</w:t>
      </w:r>
      <w:bookmarkEnd w:id="67"/>
      <w:bookmarkEnd w:id="68"/>
      <w:bookmarkEnd w:id="69"/>
    </w:p>
    <w:p>
      <w:bookmarkStart w:id="70" w:name="_GoBack"/>
      <w:bookmarkEnd w:id="7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ngLiU">
    <w:panose1 w:val="02020509000000000000"/>
    <w:charset w:val="88"/>
    <w:family w:val="modern"/>
    <w:pitch w:val="default"/>
    <w:sig w:usb0="A00002FF" w:usb1="28CFFCFA" w:usb2="00000016" w:usb3="00000000" w:csb0="00100001" w:csb1="00000000"/>
  </w:font>
  <w:font w:name="GRAENB+TimesNewRomanPSMT">
    <w:altName w:val="Segoe Print"/>
    <w:panose1 w:val="00000000000000000000"/>
    <w:charset w:val="01"/>
    <w:family w:val="roman"/>
    <w:pitch w:val="default"/>
    <w:sig w:usb0="00000000" w:usb1="00000000" w:usb2="01010101" w:usb3="01010101" w:csb0="01010101" w:csb1="01010101"/>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BCD3FC"/>
    <w:multiLevelType w:val="singleLevel"/>
    <w:tmpl w:val="8FBCD3FC"/>
    <w:lvl w:ilvl="0" w:tentative="0">
      <w:start w:val="1"/>
      <w:numFmt w:val="decimal"/>
      <w:suff w:val="nothing"/>
      <w:lvlText w:val="（%1）"/>
      <w:lvlJc w:val="left"/>
    </w:lvl>
  </w:abstractNum>
  <w:abstractNum w:abstractNumId="1">
    <w:nsid w:val="0714D134"/>
    <w:multiLevelType w:val="singleLevel"/>
    <w:tmpl w:val="0714D134"/>
    <w:lvl w:ilvl="0" w:tentative="0">
      <w:start w:val="1"/>
      <w:numFmt w:val="chineseCounting"/>
      <w:suff w:val="nothing"/>
      <w:lvlText w:val="（%1）"/>
      <w:lvlJc w:val="left"/>
      <w:rPr>
        <w:rFonts w:hint="eastAsia"/>
      </w:rPr>
    </w:lvl>
  </w:abstractNum>
  <w:abstractNum w:abstractNumId="2">
    <w:nsid w:val="6109AD52"/>
    <w:multiLevelType w:val="singleLevel"/>
    <w:tmpl w:val="6109AD52"/>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iZDA1N2Y4ODMzNTVlMjg2YWVjZTRlZTJhYTgyY2YifQ=="/>
  </w:docVars>
  <w:rsids>
    <w:rsidRoot w:val="00000000"/>
    <w:rsid w:val="7F0A0F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napToGrid w:val="0"/>
      <w:ind w:firstLine="420" w:firstLineChars="200"/>
    </w:pPr>
    <w:rPr>
      <w:rFonts w:ascii="Times New Roman" w:hAnsi="宋体"/>
      <w:szCs w:val="20"/>
    </w:rPr>
  </w:style>
  <w:style w:type="paragraph" w:styleId="3">
    <w:name w:val="Body Text Indent"/>
    <w:basedOn w:val="1"/>
    <w:qFormat/>
    <w:uiPriority w:val="0"/>
    <w:pPr>
      <w:spacing w:after="120"/>
      <w:ind w:left="420" w:leftChars="200"/>
    </w:pPr>
  </w:style>
  <w:style w:type="paragraph" w:styleId="4">
    <w:name w:val="Plain Text"/>
    <w:basedOn w:val="1"/>
    <w:qFormat/>
    <w:uiPriority w:val="0"/>
    <w:rPr>
      <w:rFonts w:ascii="宋体" w:hAnsi="Courier New"/>
      <w:color w:val="000000"/>
      <w:szCs w:val="20"/>
    </w:rPr>
  </w:style>
  <w:style w:type="paragraph" w:styleId="5">
    <w:name w:val="Body Text First Indent 2"/>
    <w:basedOn w:val="3"/>
    <w:qFormat/>
    <w:uiPriority w:val="0"/>
    <w:pPr>
      <w:ind w:left="0" w:leftChars="0" w:firstLine="960" w:firstLineChars="200"/>
    </w:pPr>
    <w:rPr>
      <w:kern w:val="0"/>
      <w:sz w:val="24"/>
      <w:szCs w:val="20"/>
    </w:rPr>
  </w:style>
  <w:style w:type="paragraph" w:customStyle="1" w:styleId="8">
    <w:name w:val="Normal_77"/>
    <w:qFormat/>
    <w:uiPriority w:val="0"/>
    <w:pPr>
      <w:spacing w:before="120" w:after="240"/>
      <w:jc w:val="both"/>
    </w:pPr>
    <w:rPr>
      <w:rFonts w:ascii="Calibri" w:hAnsi="Calibri" w:eastAsia="Times New Roman" w:cs="Times New Roman"/>
      <w:sz w:val="22"/>
      <w:szCs w:val="22"/>
      <w:lang w:val="en-US" w:eastAsia="en-US" w:bidi="ar-SA"/>
    </w:rPr>
  </w:style>
  <w:style w:type="paragraph" w:customStyle="1" w:styleId="9">
    <w:name w:val="正文文本 (2)1"/>
    <w:qFormat/>
    <w:uiPriority w:val="99"/>
    <w:pPr>
      <w:widowControl w:val="0"/>
      <w:shd w:val="clear" w:color="auto" w:fill="FFFFFF"/>
      <w:spacing w:before="300" w:line="439" w:lineRule="exact"/>
      <w:jc w:val="distribute"/>
    </w:pPr>
    <w:rPr>
      <w:rFonts w:ascii="MingLiU" w:hAnsi="Calibri" w:eastAsia="MingLiU" w:cs="Times New Roman"/>
      <w:spacing w:val="20"/>
      <w:sz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2022-09-15T08:36:25Z</dcterms:created>
  <dc:creator>Administrator</dc:creator>
  <cp:lastModifiedBy>+0</cp:lastModifiedBy>
  <dcterms:modified xsi:type="dcterms:W3CDTF">2022-09-15T08:36:28Z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AB67C5D83C4C408FAC42EBC133C91891</vt:lpwstr>
  </property>
</Properties>
</file>